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83C2" w14:textId="7F9DAB1F" w:rsidR="004B1FBA" w:rsidRPr="009729DA" w:rsidRDefault="0014148F" w:rsidP="00DD5120">
      <w:pPr>
        <w:pStyle w:val="Default"/>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29DA">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Guernsey </w:t>
      </w:r>
      <w:r w:rsidR="009729DA" w:rsidRPr="009729DA">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729DA">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sland </w:t>
      </w:r>
      <w:r w:rsidR="008D1ED7">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9729DA">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ames Association – </w:t>
      </w:r>
    </w:p>
    <w:p w14:paraId="44096F45" w14:textId="728E79A4" w:rsidR="00DD5120" w:rsidRPr="009729DA" w:rsidRDefault="0014148F" w:rsidP="00DD5120">
      <w:pPr>
        <w:pStyle w:val="Default"/>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29DA">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Anti-Financial Crimes Policy</w:t>
      </w:r>
    </w:p>
    <w:p w14:paraId="59353CBA" w14:textId="77777777" w:rsidR="00DD5120" w:rsidRPr="004B1FBA" w:rsidRDefault="00DD5120" w:rsidP="00DD5120">
      <w:pPr>
        <w:pStyle w:val="Defaul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313C31" w14:textId="77777777" w:rsidR="00C91633" w:rsidRDefault="00C91633" w:rsidP="00C91633">
      <w:pPr>
        <w:pStyle w:val="Default"/>
        <w:rPr>
          <w:b/>
          <w:bCs/>
          <w:sz w:val="22"/>
          <w:szCs w:val="22"/>
        </w:rPr>
      </w:pPr>
    </w:p>
    <w:p w14:paraId="6FBDC473" w14:textId="7A04B115" w:rsidR="00AF4337" w:rsidRPr="00E30BAB" w:rsidRDefault="00C91633" w:rsidP="00AF4337">
      <w:pPr>
        <w:pStyle w:val="Default"/>
        <w:rPr>
          <w:sz w:val="28"/>
          <w:szCs w:val="28"/>
        </w:rPr>
      </w:pPr>
      <w:r w:rsidRPr="00E30BA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Definitions </w:t>
      </w:r>
      <w:r w:rsidR="00AF433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F433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232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232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232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232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232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232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232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232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F4337" w:rsidRPr="00B12327">
        <w:rPr>
          <w:b/>
          <w:bCs/>
          <w:sz w:val="28"/>
          <w:szCs w:val="28"/>
        </w:rPr>
        <w:t>Page 2</w:t>
      </w:r>
      <w:r w:rsidR="006F23D8">
        <w:rPr>
          <w:b/>
          <w:bCs/>
          <w:sz w:val="28"/>
          <w:szCs w:val="28"/>
        </w:rPr>
        <w:br/>
      </w:r>
      <w:r w:rsidR="00AF4337" w:rsidRPr="00E30BAB">
        <w:rPr>
          <w:sz w:val="28"/>
          <w:szCs w:val="28"/>
        </w:rPr>
        <w:t xml:space="preserve"> </w:t>
      </w:r>
    </w:p>
    <w:p w14:paraId="66ED443D" w14:textId="210A74EE" w:rsidR="00DD5120" w:rsidRPr="00E30BAB" w:rsidRDefault="00DD5120" w:rsidP="00DD5120">
      <w:pPr>
        <w:pStyle w:val="Default"/>
        <w:rPr>
          <w:sz w:val="28"/>
          <w:szCs w:val="28"/>
        </w:rPr>
      </w:pPr>
      <w:r w:rsidRPr="00E30BAB">
        <w:rPr>
          <w:b/>
          <w:bCs/>
          <w:sz w:val="28"/>
          <w:szCs w:val="28"/>
        </w:rPr>
        <w:t xml:space="preserve">1. Why this Policy is Needed </w:t>
      </w:r>
      <w:r w:rsidR="00B12327">
        <w:rPr>
          <w:b/>
          <w:bCs/>
          <w:sz w:val="28"/>
          <w:szCs w:val="28"/>
        </w:rPr>
        <w:tab/>
      </w:r>
      <w:r w:rsidR="00B12327">
        <w:rPr>
          <w:b/>
          <w:bCs/>
          <w:sz w:val="28"/>
          <w:szCs w:val="28"/>
        </w:rPr>
        <w:tab/>
      </w:r>
      <w:r w:rsidR="00B12327">
        <w:rPr>
          <w:b/>
          <w:bCs/>
          <w:sz w:val="28"/>
          <w:szCs w:val="28"/>
        </w:rPr>
        <w:tab/>
      </w:r>
      <w:r w:rsidR="00B12327">
        <w:rPr>
          <w:b/>
          <w:bCs/>
          <w:sz w:val="28"/>
          <w:szCs w:val="28"/>
        </w:rPr>
        <w:tab/>
      </w:r>
      <w:r w:rsidR="00B12327">
        <w:rPr>
          <w:b/>
          <w:bCs/>
          <w:sz w:val="28"/>
          <w:szCs w:val="28"/>
        </w:rPr>
        <w:tab/>
      </w:r>
      <w:r w:rsidR="00B12327">
        <w:rPr>
          <w:b/>
          <w:bCs/>
          <w:sz w:val="28"/>
          <w:szCs w:val="28"/>
        </w:rPr>
        <w:tab/>
      </w:r>
      <w:r w:rsidR="00B12327">
        <w:rPr>
          <w:b/>
          <w:bCs/>
          <w:sz w:val="28"/>
          <w:szCs w:val="28"/>
        </w:rPr>
        <w:tab/>
        <w:t xml:space="preserve">Page </w:t>
      </w:r>
      <w:r w:rsidRPr="00E30BAB">
        <w:rPr>
          <w:b/>
          <w:bCs/>
          <w:sz w:val="28"/>
          <w:szCs w:val="28"/>
        </w:rPr>
        <w:t>3</w:t>
      </w:r>
      <w:r w:rsidR="006F23D8">
        <w:rPr>
          <w:b/>
          <w:bCs/>
          <w:sz w:val="28"/>
          <w:szCs w:val="28"/>
        </w:rPr>
        <w:br/>
      </w:r>
      <w:r w:rsidRPr="00E30BAB">
        <w:rPr>
          <w:b/>
          <w:bCs/>
          <w:sz w:val="28"/>
          <w:szCs w:val="28"/>
        </w:rPr>
        <w:t xml:space="preserve"> </w:t>
      </w:r>
    </w:p>
    <w:p w14:paraId="375FC3D5" w14:textId="2934A382" w:rsidR="00DD5120" w:rsidRPr="00E30BAB" w:rsidRDefault="00DD5120" w:rsidP="00DD5120">
      <w:pPr>
        <w:pStyle w:val="Default"/>
        <w:rPr>
          <w:sz w:val="28"/>
          <w:szCs w:val="28"/>
        </w:rPr>
      </w:pPr>
      <w:r w:rsidRPr="00E30BAB">
        <w:rPr>
          <w:b/>
          <w:bCs/>
          <w:sz w:val="28"/>
          <w:szCs w:val="28"/>
        </w:rPr>
        <w:t xml:space="preserve">2. What this Policy Aims to Achieve </w:t>
      </w:r>
      <w:r w:rsidR="001A1F62">
        <w:rPr>
          <w:b/>
          <w:bCs/>
          <w:sz w:val="28"/>
          <w:szCs w:val="28"/>
        </w:rPr>
        <w:tab/>
      </w:r>
      <w:r w:rsidR="001A1F62">
        <w:rPr>
          <w:b/>
          <w:bCs/>
          <w:sz w:val="28"/>
          <w:szCs w:val="28"/>
        </w:rPr>
        <w:tab/>
      </w:r>
      <w:r w:rsidR="001A1F62">
        <w:rPr>
          <w:b/>
          <w:bCs/>
          <w:sz w:val="28"/>
          <w:szCs w:val="28"/>
        </w:rPr>
        <w:tab/>
      </w:r>
      <w:r w:rsidR="001A1F62">
        <w:rPr>
          <w:b/>
          <w:bCs/>
          <w:sz w:val="28"/>
          <w:szCs w:val="28"/>
        </w:rPr>
        <w:tab/>
      </w:r>
      <w:r w:rsidR="001A1F62">
        <w:rPr>
          <w:b/>
          <w:bCs/>
          <w:sz w:val="28"/>
          <w:szCs w:val="28"/>
        </w:rPr>
        <w:tab/>
      </w:r>
      <w:r w:rsidR="001A1F62">
        <w:rPr>
          <w:b/>
          <w:bCs/>
          <w:sz w:val="28"/>
          <w:szCs w:val="28"/>
        </w:rPr>
        <w:tab/>
      </w:r>
      <w:r w:rsidR="00B12327">
        <w:rPr>
          <w:b/>
          <w:bCs/>
          <w:sz w:val="28"/>
          <w:szCs w:val="28"/>
        </w:rPr>
        <w:t xml:space="preserve">Page </w:t>
      </w:r>
      <w:r w:rsidRPr="00E30BAB">
        <w:rPr>
          <w:b/>
          <w:bCs/>
          <w:sz w:val="28"/>
          <w:szCs w:val="28"/>
        </w:rPr>
        <w:t>4</w:t>
      </w:r>
      <w:r w:rsidR="006F23D8">
        <w:rPr>
          <w:b/>
          <w:bCs/>
          <w:sz w:val="28"/>
          <w:szCs w:val="28"/>
        </w:rPr>
        <w:br/>
      </w:r>
      <w:r w:rsidRPr="00E30BAB">
        <w:rPr>
          <w:b/>
          <w:bCs/>
          <w:sz w:val="28"/>
          <w:szCs w:val="28"/>
        </w:rPr>
        <w:t xml:space="preserve"> </w:t>
      </w:r>
    </w:p>
    <w:p w14:paraId="6FE89CE4" w14:textId="63716BEB" w:rsidR="00DD5120" w:rsidRPr="00E30BAB" w:rsidRDefault="00DD5120" w:rsidP="00DD5120">
      <w:pPr>
        <w:pStyle w:val="Default"/>
        <w:rPr>
          <w:sz w:val="28"/>
          <w:szCs w:val="28"/>
        </w:rPr>
      </w:pPr>
      <w:r w:rsidRPr="00E30BAB">
        <w:rPr>
          <w:b/>
          <w:bCs/>
          <w:sz w:val="28"/>
          <w:szCs w:val="28"/>
        </w:rPr>
        <w:t xml:space="preserve">3. Introduction to Money Laundering </w:t>
      </w:r>
      <w:r w:rsidR="001A1F62">
        <w:rPr>
          <w:b/>
          <w:bCs/>
          <w:sz w:val="28"/>
          <w:szCs w:val="28"/>
        </w:rPr>
        <w:tab/>
      </w:r>
      <w:r w:rsidR="001A1F62">
        <w:rPr>
          <w:b/>
          <w:bCs/>
          <w:sz w:val="28"/>
          <w:szCs w:val="28"/>
        </w:rPr>
        <w:tab/>
      </w:r>
      <w:r w:rsidR="001A1F62">
        <w:rPr>
          <w:b/>
          <w:bCs/>
          <w:sz w:val="28"/>
          <w:szCs w:val="28"/>
        </w:rPr>
        <w:tab/>
      </w:r>
      <w:r w:rsidR="001A1F62">
        <w:rPr>
          <w:b/>
          <w:bCs/>
          <w:sz w:val="28"/>
          <w:szCs w:val="28"/>
        </w:rPr>
        <w:tab/>
      </w:r>
      <w:r w:rsidR="001A1F62">
        <w:rPr>
          <w:b/>
          <w:bCs/>
          <w:sz w:val="28"/>
          <w:szCs w:val="28"/>
        </w:rPr>
        <w:tab/>
        <w:t xml:space="preserve">Page </w:t>
      </w:r>
      <w:r w:rsidRPr="00E30BAB">
        <w:rPr>
          <w:b/>
          <w:bCs/>
          <w:sz w:val="28"/>
          <w:szCs w:val="28"/>
        </w:rPr>
        <w:t>4</w:t>
      </w:r>
      <w:r w:rsidR="006F23D8">
        <w:rPr>
          <w:b/>
          <w:bCs/>
          <w:sz w:val="28"/>
          <w:szCs w:val="28"/>
        </w:rPr>
        <w:br/>
      </w:r>
      <w:r w:rsidRPr="00E30BAB">
        <w:rPr>
          <w:b/>
          <w:bCs/>
          <w:sz w:val="28"/>
          <w:szCs w:val="28"/>
        </w:rPr>
        <w:t xml:space="preserve"> </w:t>
      </w:r>
    </w:p>
    <w:p w14:paraId="49D7C0DA" w14:textId="11461155" w:rsidR="00DD5120" w:rsidRPr="00E30BAB" w:rsidRDefault="00DD5120" w:rsidP="00DD5120">
      <w:pPr>
        <w:pStyle w:val="Default"/>
        <w:rPr>
          <w:sz w:val="28"/>
          <w:szCs w:val="28"/>
        </w:rPr>
      </w:pPr>
      <w:r w:rsidRPr="00E30BAB">
        <w:rPr>
          <w:b/>
          <w:bCs/>
          <w:sz w:val="28"/>
          <w:szCs w:val="28"/>
        </w:rPr>
        <w:t xml:space="preserve">4. Introduction to Terrorism and Terrorist Financing </w:t>
      </w:r>
      <w:r w:rsidR="001A1F62">
        <w:rPr>
          <w:b/>
          <w:bCs/>
          <w:sz w:val="28"/>
          <w:szCs w:val="28"/>
        </w:rPr>
        <w:tab/>
      </w:r>
      <w:r w:rsidR="001A1F62">
        <w:rPr>
          <w:b/>
          <w:bCs/>
          <w:sz w:val="28"/>
          <w:szCs w:val="28"/>
        </w:rPr>
        <w:tab/>
      </w:r>
      <w:r w:rsidR="001A1F62">
        <w:rPr>
          <w:b/>
          <w:bCs/>
          <w:sz w:val="28"/>
          <w:szCs w:val="28"/>
        </w:rPr>
        <w:tab/>
        <w:t xml:space="preserve">Page </w:t>
      </w:r>
      <w:r w:rsidRPr="00E30BAB">
        <w:rPr>
          <w:b/>
          <w:bCs/>
          <w:sz w:val="28"/>
          <w:szCs w:val="28"/>
        </w:rPr>
        <w:t>4</w:t>
      </w:r>
      <w:r w:rsidR="006F23D8">
        <w:rPr>
          <w:b/>
          <w:bCs/>
          <w:sz w:val="28"/>
          <w:szCs w:val="28"/>
        </w:rPr>
        <w:br/>
      </w:r>
      <w:r w:rsidRPr="00E30BAB">
        <w:rPr>
          <w:b/>
          <w:bCs/>
          <w:sz w:val="28"/>
          <w:szCs w:val="28"/>
        </w:rPr>
        <w:t xml:space="preserve"> </w:t>
      </w:r>
    </w:p>
    <w:p w14:paraId="750E45EE" w14:textId="4813A020" w:rsidR="00DD5120" w:rsidRPr="00E30BAB" w:rsidRDefault="00DD5120" w:rsidP="00DD5120">
      <w:pPr>
        <w:pStyle w:val="Default"/>
        <w:rPr>
          <w:sz w:val="28"/>
          <w:szCs w:val="28"/>
        </w:rPr>
      </w:pPr>
      <w:r w:rsidRPr="00E30BAB">
        <w:rPr>
          <w:b/>
          <w:bCs/>
          <w:sz w:val="28"/>
          <w:szCs w:val="28"/>
        </w:rPr>
        <w:t xml:space="preserve">5. Introduction to Bribery, Corruption and Fraud </w:t>
      </w:r>
      <w:r w:rsidR="001A1F62">
        <w:rPr>
          <w:b/>
          <w:bCs/>
          <w:sz w:val="28"/>
          <w:szCs w:val="28"/>
        </w:rPr>
        <w:tab/>
      </w:r>
      <w:r w:rsidR="001A1F62">
        <w:rPr>
          <w:b/>
          <w:bCs/>
          <w:sz w:val="28"/>
          <w:szCs w:val="28"/>
        </w:rPr>
        <w:tab/>
      </w:r>
      <w:r w:rsidR="001A1F62">
        <w:rPr>
          <w:b/>
          <w:bCs/>
          <w:sz w:val="28"/>
          <w:szCs w:val="28"/>
        </w:rPr>
        <w:tab/>
      </w:r>
      <w:r w:rsidR="001A1F62">
        <w:rPr>
          <w:b/>
          <w:bCs/>
          <w:sz w:val="28"/>
          <w:szCs w:val="28"/>
        </w:rPr>
        <w:tab/>
        <w:t xml:space="preserve">Page </w:t>
      </w:r>
      <w:r w:rsidRPr="00E30BAB">
        <w:rPr>
          <w:b/>
          <w:bCs/>
          <w:sz w:val="28"/>
          <w:szCs w:val="28"/>
        </w:rPr>
        <w:t>5</w:t>
      </w:r>
      <w:r w:rsidR="006F23D8">
        <w:rPr>
          <w:b/>
          <w:bCs/>
          <w:sz w:val="28"/>
          <w:szCs w:val="28"/>
        </w:rPr>
        <w:br/>
      </w:r>
      <w:r w:rsidRPr="00E30BAB">
        <w:rPr>
          <w:b/>
          <w:bCs/>
          <w:sz w:val="28"/>
          <w:szCs w:val="28"/>
        </w:rPr>
        <w:t xml:space="preserve"> </w:t>
      </w:r>
    </w:p>
    <w:p w14:paraId="3F9DBA64" w14:textId="33F2D8F2" w:rsidR="00DD5120" w:rsidRPr="00E30BAB" w:rsidRDefault="00DD5120" w:rsidP="00DD5120">
      <w:pPr>
        <w:pStyle w:val="Default"/>
        <w:rPr>
          <w:sz w:val="28"/>
          <w:szCs w:val="28"/>
        </w:rPr>
      </w:pPr>
      <w:r w:rsidRPr="00E30BAB">
        <w:rPr>
          <w:b/>
          <w:bCs/>
          <w:sz w:val="28"/>
          <w:szCs w:val="28"/>
        </w:rPr>
        <w:t xml:space="preserve">6. Introduction to Proliferation of Weapons of Mass Destruction </w:t>
      </w:r>
      <w:r w:rsidR="00E86F99">
        <w:rPr>
          <w:b/>
          <w:bCs/>
          <w:sz w:val="28"/>
          <w:szCs w:val="28"/>
        </w:rPr>
        <w:tab/>
      </w:r>
      <w:r w:rsidR="001A1F62">
        <w:rPr>
          <w:b/>
          <w:bCs/>
          <w:sz w:val="28"/>
          <w:szCs w:val="28"/>
        </w:rPr>
        <w:t xml:space="preserve">Page </w:t>
      </w:r>
      <w:r w:rsidRPr="00E30BAB">
        <w:rPr>
          <w:b/>
          <w:bCs/>
          <w:sz w:val="28"/>
          <w:szCs w:val="28"/>
        </w:rPr>
        <w:t>5</w:t>
      </w:r>
      <w:r w:rsidR="006F23D8">
        <w:rPr>
          <w:b/>
          <w:bCs/>
          <w:sz w:val="28"/>
          <w:szCs w:val="28"/>
        </w:rPr>
        <w:br/>
      </w:r>
      <w:r w:rsidRPr="00E30BAB">
        <w:rPr>
          <w:b/>
          <w:bCs/>
          <w:sz w:val="28"/>
          <w:szCs w:val="28"/>
        </w:rPr>
        <w:t xml:space="preserve"> </w:t>
      </w:r>
    </w:p>
    <w:p w14:paraId="21045CC8" w14:textId="06799648" w:rsidR="00DD5120" w:rsidRPr="00E30BAB" w:rsidRDefault="00DD5120" w:rsidP="00DD5120">
      <w:pPr>
        <w:pStyle w:val="Default"/>
        <w:rPr>
          <w:sz w:val="28"/>
          <w:szCs w:val="28"/>
        </w:rPr>
      </w:pPr>
      <w:r w:rsidRPr="00E30BAB">
        <w:rPr>
          <w:b/>
          <w:bCs/>
          <w:sz w:val="28"/>
          <w:szCs w:val="28"/>
        </w:rPr>
        <w:t xml:space="preserve">7. Dealings with International Partners </w:t>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t>Page 6</w:t>
      </w:r>
      <w:r w:rsidR="006F23D8">
        <w:rPr>
          <w:b/>
          <w:bCs/>
          <w:sz w:val="28"/>
          <w:szCs w:val="28"/>
        </w:rPr>
        <w:br/>
      </w:r>
    </w:p>
    <w:p w14:paraId="3F681EF3" w14:textId="0186FDE2" w:rsidR="00DD5120" w:rsidRPr="00E30BAB" w:rsidRDefault="00DD5120" w:rsidP="00DD5120">
      <w:pPr>
        <w:pStyle w:val="Default"/>
        <w:rPr>
          <w:sz w:val="28"/>
          <w:szCs w:val="28"/>
        </w:rPr>
      </w:pPr>
      <w:r w:rsidRPr="00E30BAB">
        <w:rPr>
          <w:b/>
          <w:bCs/>
          <w:sz w:val="28"/>
          <w:szCs w:val="28"/>
        </w:rPr>
        <w:t xml:space="preserve">8. Identification Measures </w:t>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t xml:space="preserve">Page </w:t>
      </w:r>
      <w:r w:rsidRPr="00E30BAB">
        <w:rPr>
          <w:b/>
          <w:bCs/>
          <w:sz w:val="28"/>
          <w:szCs w:val="28"/>
        </w:rPr>
        <w:t>6</w:t>
      </w:r>
      <w:r w:rsidR="006F23D8">
        <w:rPr>
          <w:b/>
          <w:bCs/>
          <w:sz w:val="28"/>
          <w:szCs w:val="28"/>
        </w:rPr>
        <w:br/>
      </w:r>
      <w:r w:rsidRPr="00E30BAB">
        <w:rPr>
          <w:b/>
          <w:bCs/>
          <w:sz w:val="28"/>
          <w:szCs w:val="28"/>
        </w:rPr>
        <w:t xml:space="preserve"> </w:t>
      </w:r>
    </w:p>
    <w:p w14:paraId="18783642" w14:textId="32C683A5" w:rsidR="00DD5120" w:rsidRPr="00E30BAB" w:rsidRDefault="00DD5120" w:rsidP="00DD5120">
      <w:pPr>
        <w:pStyle w:val="Default"/>
        <w:rPr>
          <w:sz w:val="28"/>
          <w:szCs w:val="28"/>
        </w:rPr>
      </w:pPr>
      <w:r w:rsidRPr="00E30BAB">
        <w:rPr>
          <w:b/>
          <w:bCs/>
          <w:sz w:val="28"/>
          <w:szCs w:val="28"/>
        </w:rPr>
        <w:t xml:space="preserve">9. Reviews, Oversight and Monitoring </w:t>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t xml:space="preserve">Page </w:t>
      </w:r>
      <w:r w:rsidRPr="00E30BAB">
        <w:rPr>
          <w:b/>
          <w:bCs/>
          <w:sz w:val="28"/>
          <w:szCs w:val="28"/>
        </w:rPr>
        <w:t xml:space="preserve">7 </w:t>
      </w:r>
      <w:r w:rsidR="006F23D8">
        <w:rPr>
          <w:b/>
          <w:bCs/>
          <w:sz w:val="28"/>
          <w:szCs w:val="28"/>
        </w:rPr>
        <w:br/>
      </w:r>
    </w:p>
    <w:p w14:paraId="56C63D9E" w14:textId="04B521CB" w:rsidR="00DD5120" w:rsidRPr="00E30BAB" w:rsidRDefault="00DD5120" w:rsidP="00DD5120">
      <w:pPr>
        <w:pStyle w:val="Default"/>
        <w:rPr>
          <w:sz w:val="28"/>
          <w:szCs w:val="28"/>
        </w:rPr>
      </w:pPr>
      <w:r w:rsidRPr="00E30BAB">
        <w:rPr>
          <w:b/>
          <w:bCs/>
          <w:sz w:val="28"/>
          <w:szCs w:val="28"/>
        </w:rPr>
        <w:t xml:space="preserve">10. Record Keeping </w:t>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t xml:space="preserve">Page </w:t>
      </w:r>
      <w:r w:rsidRPr="00E30BAB">
        <w:rPr>
          <w:b/>
          <w:bCs/>
          <w:sz w:val="28"/>
          <w:szCs w:val="28"/>
        </w:rPr>
        <w:t>7</w:t>
      </w:r>
      <w:r w:rsidR="006F23D8">
        <w:rPr>
          <w:b/>
          <w:bCs/>
          <w:sz w:val="28"/>
          <w:szCs w:val="28"/>
        </w:rPr>
        <w:br/>
      </w:r>
      <w:r w:rsidRPr="00E30BAB">
        <w:rPr>
          <w:b/>
          <w:bCs/>
          <w:sz w:val="28"/>
          <w:szCs w:val="28"/>
        </w:rPr>
        <w:t xml:space="preserve"> </w:t>
      </w:r>
    </w:p>
    <w:p w14:paraId="0E36C6B8" w14:textId="26D349E6" w:rsidR="00DD5120" w:rsidRPr="00E30BAB" w:rsidRDefault="00DD5120" w:rsidP="00DD5120">
      <w:pPr>
        <w:pStyle w:val="Default"/>
        <w:rPr>
          <w:sz w:val="28"/>
          <w:szCs w:val="28"/>
        </w:rPr>
      </w:pPr>
      <w:r w:rsidRPr="00E30BAB">
        <w:rPr>
          <w:b/>
          <w:bCs/>
          <w:sz w:val="28"/>
          <w:szCs w:val="28"/>
        </w:rPr>
        <w:t xml:space="preserve">11. What to Do If You Are Suspicious </w:t>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r>
      <w:r w:rsidR="00E86F99">
        <w:rPr>
          <w:b/>
          <w:bCs/>
          <w:sz w:val="28"/>
          <w:szCs w:val="28"/>
        </w:rPr>
        <w:tab/>
        <w:t>Page</w:t>
      </w:r>
      <w:r w:rsidR="00E86F99" w:rsidRPr="006F23D8">
        <w:rPr>
          <w:b/>
          <w:bCs/>
          <w:sz w:val="28"/>
          <w:szCs w:val="28"/>
        </w:rPr>
        <w:t xml:space="preserve"> </w:t>
      </w:r>
      <w:r w:rsidRPr="006F23D8">
        <w:rPr>
          <w:b/>
          <w:bCs/>
          <w:sz w:val="28"/>
          <w:szCs w:val="28"/>
        </w:rPr>
        <w:t>8</w:t>
      </w:r>
      <w:r w:rsidRPr="00E30BAB">
        <w:rPr>
          <w:sz w:val="28"/>
          <w:szCs w:val="28"/>
        </w:rPr>
        <w:t xml:space="preserve"> </w:t>
      </w:r>
    </w:p>
    <w:p w14:paraId="66723F08" w14:textId="77777777" w:rsidR="00DD5120" w:rsidRPr="00E30BAB" w:rsidRDefault="00DD5120" w:rsidP="00DD5120">
      <w:pPr>
        <w:pStyle w:val="Default"/>
        <w:rPr>
          <w:color w:val="auto"/>
          <w:sz w:val="28"/>
          <w:szCs w:val="28"/>
        </w:rPr>
      </w:pPr>
    </w:p>
    <w:p w14:paraId="47E90CF8" w14:textId="77777777" w:rsidR="00DD5120" w:rsidRDefault="00DD5120" w:rsidP="00DD5120">
      <w:pPr>
        <w:pStyle w:val="Default"/>
        <w:rPr>
          <w:color w:val="auto"/>
        </w:rPr>
        <w:sectPr w:rsidR="00DD5120">
          <w:headerReference w:type="even" r:id="rId7"/>
          <w:headerReference w:type="default" r:id="rId8"/>
          <w:footerReference w:type="even" r:id="rId9"/>
          <w:footerReference w:type="default" r:id="rId10"/>
          <w:headerReference w:type="first" r:id="rId11"/>
          <w:footerReference w:type="first" r:id="rId12"/>
          <w:pgSz w:w="11906" w:h="17338"/>
          <w:pgMar w:top="1145" w:right="1108" w:bottom="652" w:left="1259" w:header="720" w:footer="720" w:gutter="0"/>
          <w:cols w:space="720"/>
          <w:noEndnote/>
        </w:sect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97"/>
        <w:gridCol w:w="4397"/>
      </w:tblGrid>
      <w:tr w:rsidR="00474AE1" w14:paraId="6041E6AB" w14:textId="77777777">
        <w:trPr>
          <w:trHeight w:val="244"/>
        </w:trPr>
        <w:tc>
          <w:tcPr>
            <w:tcW w:w="4397" w:type="dxa"/>
            <w:tcBorders>
              <w:top w:val="none" w:sz="6" w:space="0" w:color="auto"/>
              <w:bottom w:val="none" w:sz="6" w:space="0" w:color="auto"/>
              <w:right w:val="none" w:sz="6" w:space="0" w:color="auto"/>
            </w:tcBorders>
          </w:tcPr>
          <w:p w14:paraId="1185AD2E" w14:textId="1BCF9AEC" w:rsidR="00474AE1" w:rsidRPr="00882B59" w:rsidRDefault="00882B59">
            <w:pPr>
              <w:pStyle w:val="Default"/>
              <w:rPr>
                <w:b/>
                <w:bCs/>
                <w:color w:val="001F5F"/>
                <w:sz w:val="32"/>
                <w:szCs w:val="32"/>
              </w:rPr>
            </w:pPr>
            <w:r w:rsidRPr="00882B59">
              <w:rPr>
                <w:b/>
                <w:bCs/>
                <w:color w:val="001F5F"/>
                <w:sz w:val="32"/>
                <w:szCs w:val="32"/>
              </w:rPr>
              <w:lastRenderedPageBreak/>
              <w:t>Definitions</w:t>
            </w:r>
          </w:p>
        </w:tc>
        <w:tc>
          <w:tcPr>
            <w:tcW w:w="4397" w:type="dxa"/>
            <w:tcBorders>
              <w:top w:val="none" w:sz="6" w:space="0" w:color="auto"/>
              <w:left w:val="none" w:sz="6" w:space="0" w:color="auto"/>
              <w:bottom w:val="none" w:sz="6" w:space="0" w:color="auto"/>
            </w:tcBorders>
          </w:tcPr>
          <w:p w14:paraId="505176A8" w14:textId="77777777" w:rsidR="00474AE1" w:rsidRDefault="00474AE1">
            <w:pPr>
              <w:pStyle w:val="Default"/>
              <w:rPr>
                <w:sz w:val="22"/>
                <w:szCs w:val="22"/>
              </w:rPr>
            </w:pPr>
          </w:p>
        </w:tc>
      </w:tr>
      <w:tr w:rsidR="00474AE1" w14:paraId="193970D3" w14:textId="77777777">
        <w:trPr>
          <w:trHeight w:val="244"/>
        </w:trPr>
        <w:tc>
          <w:tcPr>
            <w:tcW w:w="4397" w:type="dxa"/>
            <w:tcBorders>
              <w:top w:val="none" w:sz="6" w:space="0" w:color="auto"/>
              <w:bottom w:val="none" w:sz="6" w:space="0" w:color="auto"/>
              <w:right w:val="none" w:sz="6" w:space="0" w:color="auto"/>
            </w:tcBorders>
          </w:tcPr>
          <w:p w14:paraId="5B3B0D94" w14:textId="2317A72B" w:rsidR="00474AE1" w:rsidRPr="006F23D8" w:rsidRDefault="00474AE1">
            <w:pPr>
              <w:pStyle w:val="Default"/>
              <w:rPr>
                <w:b/>
                <w:bCs/>
                <w:color w:val="001F5F"/>
              </w:rPr>
            </w:pPr>
            <w:r w:rsidRPr="006F23D8">
              <w:rPr>
                <w:b/>
                <w:bCs/>
                <w:color w:val="001F5F"/>
              </w:rPr>
              <w:t xml:space="preserve">Asset </w:t>
            </w:r>
          </w:p>
        </w:tc>
        <w:tc>
          <w:tcPr>
            <w:tcW w:w="4397" w:type="dxa"/>
            <w:tcBorders>
              <w:top w:val="none" w:sz="6" w:space="0" w:color="auto"/>
              <w:left w:val="none" w:sz="6" w:space="0" w:color="auto"/>
              <w:bottom w:val="none" w:sz="6" w:space="0" w:color="auto"/>
            </w:tcBorders>
          </w:tcPr>
          <w:p w14:paraId="0384D058" w14:textId="5D74E4C7" w:rsidR="00474AE1" w:rsidRDefault="00474AE1">
            <w:pPr>
              <w:pStyle w:val="Default"/>
              <w:rPr>
                <w:sz w:val="22"/>
                <w:szCs w:val="22"/>
              </w:rPr>
            </w:pPr>
            <w:r>
              <w:rPr>
                <w:sz w:val="22"/>
                <w:szCs w:val="22"/>
              </w:rPr>
              <w:t xml:space="preserve">An item of property owned by or given to the organisation that is regarded to have monetary value. </w:t>
            </w:r>
          </w:p>
        </w:tc>
      </w:tr>
      <w:tr w:rsidR="00474AE1" w14:paraId="420495BB" w14:textId="77777777">
        <w:trPr>
          <w:trHeight w:val="244"/>
        </w:trPr>
        <w:tc>
          <w:tcPr>
            <w:tcW w:w="4397" w:type="dxa"/>
            <w:tcBorders>
              <w:top w:val="none" w:sz="6" w:space="0" w:color="auto"/>
              <w:bottom w:val="none" w:sz="6" w:space="0" w:color="auto"/>
              <w:right w:val="none" w:sz="6" w:space="0" w:color="auto"/>
            </w:tcBorders>
          </w:tcPr>
          <w:p w14:paraId="4BAA129D" w14:textId="68797D0F" w:rsidR="00474AE1" w:rsidRPr="006F23D8" w:rsidRDefault="00474AE1">
            <w:pPr>
              <w:pStyle w:val="Default"/>
              <w:rPr>
                <w:b/>
                <w:bCs/>
                <w:color w:val="001F5F"/>
              </w:rPr>
            </w:pPr>
            <w:r w:rsidRPr="006F23D8">
              <w:rPr>
                <w:b/>
                <w:bCs/>
                <w:color w:val="001F5F"/>
              </w:rPr>
              <w:t xml:space="preserve">Bona Fides </w:t>
            </w:r>
          </w:p>
        </w:tc>
        <w:tc>
          <w:tcPr>
            <w:tcW w:w="4397" w:type="dxa"/>
            <w:tcBorders>
              <w:top w:val="none" w:sz="6" w:space="0" w:color="auto"/>
              <w:left w:val="none" w:sz="6" w:space="0" w:color="auto"/>
              <w:bottom w:val="none" w:sz="6" w:space="0" w:color="auto"/>
            </w:tcBorders>
          </w:tcPr>
          <w:p w14:paraId="5698E135" w14:textId="17BF8F54" w:rsidR="00474AE1" w:rsidRDefault="00474AE1">
            <w:pPr>
              <w:pStyle w:val="Default"/>
              <w:rPr>
                <w:sz w:val="22"/>
                <w:szCs w:val="22"/>
              </w:rPr>
            </w:pPr>
            <w:r>
              <w:rPr>
                <w:sz w:val="22"/>
                <w:szCs w:val="22"/>
              </w:rPr>
              <w:t xml:space="preserve">Acting in good faith and being genuine. The sincere intention to be fair, open, honest, regardless of the outcome. </w:t>
            </w:r>
          </w:p>
        </w:tc>
      </w:tr>
      <w:tr w:rsidR="00474AE1" w14:paraId="4E9FA8F9" w14:textId="77777777">
        <w:trPr>
          <w:trHeight w:val="244"/>
        </w:trPr>
        <w:tc>
          <w:tcPr>
            <w:tcW w:w="4397" w:type="dxa"/>
            <w:tcBorders>
              <w:top w:val="none" w:sz="6" w:space="0" w:color="auto"/>
              <w:bottom w:val="none" w:sz="6" w:space="0" w:color="auto"/>
              <w:right w:val="none" w:sz="6" w:space="0" w:color="auto"/>
            </w:tcBorders>
          </w:tcPr>
          <w:p w14:paraId="44F0FADA" w14:textId="2AEA4C0E" w:rsidR="00474AE1" w:rsidRPr="006F23D8" w:rsidRDefault="00474AE1">
            <w:pPr>
              <w:pStyle w:val="Default"/>
              <w:rPr>
                <w:b/>
                <w:bCs/>
                <w:color w:val="001F5F"/>
              </w:rPr>
            </w:pPr>
            <w:r w:rsidRPr="006F23D8">
              <w:rPr>
                <w:b/>
                <w:bCs/>
                <w:color w:val="001F5F"/>
              </w:rPr>
              <w:t xml:space="preserve">British Registered Organisation </w:t>
            </w:r>
          </w:p>
        </w:tc>
        <w:tc>
          <w:tcPr>
            <w:tcW w:w="4397" w:type="dxa"/>
            <w:tcBorders>
              <w:top w:val="none" w:sz="6" w:space="0" w:color="auto"/>
              <w:left w:val="none" w:sz="6" w:space="0" w:color="auto"/>
              <w:bottom w:val="none" w:sz="6" w:space="0" w:color="auto"/>
            </w:tcBorders>
          </w:tcPr>
          <w:p w14:paraId="6BD467D1" w14:textId="797473F3" w:rsidR="00474AE1" w:rsidRDefault="00474AE1">
            <w:pPr>
              <w:pStyle w:val="Default"/>
              <w:rPr>
                <w:sz w:val="22"/>
                <w:szCs w:val="22"/>
              </w:rPr>
            </w:pPr>
            <w:r>
              <w:rPr>
                <w:sz w:val="22"/>
                <w:szCs w:val="22"/>
              </w:rPr>
              <w:t xml:space="preserve">An organisation that is registered with the Charity Commission for England and Wales, the Scottish Charity Regulator, or the corresponding authorities in Jersey and the Isle of Man. </w:t>
            </w:r>
          </w:p>
        </w:tc>
      </w:tr>
      <w:tr w:rsidR="00474AE1" w14:paraId="7E9D427A" w14:textId="77777777">
        <w:trPr>
          <w:trHeight w:val="244"/>
        </w:trPr>
        <w:tc>
          <w:tcPr>
            <w:tcW w:w="4397" w:type="dxa"/>
            <w:tcBorders>
              <w:top w:val="none" w:sz="6" w:space="0" w:color="auto"/>
              <w:bottom w:val="none" w:sz="6" w:space="0" w:color="auto"/>
              <w:right w:val="none" w:sz="6" w:space="0" w:color="auto"/>
            </w:tcBorders>
          </w:tcPr>
          <w:p w14:paraId="5E222F99" w14:textId="03911A55" w:rsidR="00474AE1" w:rsidRPr="006F23D8" w:rsidRDefault="00474AE1">
            <w:pPr>
              <w:pStyle w:val="Default"/>
              <w:rPr>
                <w:b/>
                <w:bCs/>
                <w:color w:val="001F5F"/>
              </w:rPr>
            </w:pPr>
            <w:r w:rsidRPr="006F23D8">
              <w:rPr>
                <w:b/>
                <w:bCs/>
                <w:color w:val="001F5F"/>
              </w:rPr>
              <w:t xml:space="preserve">Criminal Purposes </w:t>
            </w:r>
          </w:p>
        </w:tc>
        <w:tc>
          <w:tcPr>
            <w:tcW w:w="4397" w:type="dxa"/>
            <w:tcBorders>
              <w:top w:val="none" w:sz="6" w:space="0" w:color="auto"/>
              <w:left w:val="none" w:sz="6" w:space="0" w:color="auto"/>
              <w:bottom w:val="none" w:sz="6" w:space="0" w:color="auto"/>
            </w:tcBorders>
          </w:tcPr>
          <w:p w14:paraId="70ABD577" w14:textId="77777777" w:rsidR="00474AE1" w:rsidRDefault="00474AE1">
            <w:pPr>
              <w:pStyle w:val="Default"/>
              <w:rPr>
                <w:sz w:val="22"/>
                <w:szCs w:val="22"/>
              </w:rPr>
            </w:pPr>
            <w:r>
              <w:rPr>
                <w:sz w:val="22"/>
                <w:szCs w:val="22"/>
              </w:rPr>
              <w:t xml:space="preserve">The financing of terrorism, money laundering, fraud, </w:t>
            </w:r>
            <w:proofErr w:type="gramStart"/>
            <w:r>
              <w:rPr>
                <w:sz w:val="22"/>
                <w:szCs w:val="22"/>
              </w:rPr>
              <w:t>bribery</w:t>
            </w:r>
            <w:proofErr w:type="gramEnd"/>
            <w:r>
              <w:rPr>
                <w:sz w:val="22"/>
                <w:szCs w:val="22"/>
              </w:rPr>
              <w:t xml:space="preserve"> and corruption. </w:t>
            </w:r>
          </w:p>
          <w:p w14:paraId="6088E3EF" w14:textId="0B2924FA" w:rsidR="00474AE1" w:rsidRDefault="00474AE1">
            <w:pPr>
              <w:pStyle w:val="Default"/>
              <w:rPr>
                <w:sz w:val="22"/>
                <w:szCs w:val="22"/>
              </w:rPr>
            </w:pPr>
            <w:r>
              <w:rPr>
                <w:sz w:val="22"/>
                <w:szCs w:val="22"/>
              </w:rPr>
              <w:t xml:space="preserve">The financing of terrorism is not included within this definition where a registered organisation does not carry out international activity or only provides funds of assets to an organisation that is a British registered organisation. </w:t>
            </w:r>
          </w:p>
        </w:tc>
      </w:tr>
      <w:tr w:rsidR="00474AE1" w14:paraId="6D3AECCE" w14:textId="77777777">
        <w:trPr>
          <w:trHeight w:val="244"/>
        </w:trPr>
        <w:tc>
          <w:tcPr>
            <w:tcW w:w="4397" w:type="dxa"/>
            <w:tcBorders>
              <w:top w:val="none" w:sz="6" w:space="0" w:color="auto"/>
              <w:bottom w:val="none" w:sz="6" w:space="0" w:color="auto"/>
              <w:right w:val="none" w:sz="6" w:space="0" w:color="auto"/>
            </w:tcBorders>
          </w:tcPr>
          <w:p w14:paraId="720C4FC8" w14:textId="447C5047" w:rsidR="00474AE1" w:rsidRPr="006F23D8" w:rsidRDefault="00474AE1">
            <w:pPr>
              <w:pStyle w:val="Default"/>
              <w:rPr>
                <w:b/>
                <w:bCs/>
                <w:color w:val="001F5F"/>
              </w:rPr>
            </w:pPr>
            <w:r w:rsidRPr="006F23D8">
              <w:rPr>
                <w:b/>
                <w:bCs/>
                <w:color w:val="001F5F"/>
              </w:rPr>
              <w:t xml:space="preserve">Funds </w:t>
            </w:r>
          </w:p>
        </w:tc>
        <w:tc>
          <w:tcPr>
            <w:tcW w:w="4397" w:type="dxa"/>
            <w:tcBorders>
              <w:top w:val="none" w:sz="6" w:space="0" w:color="auto"/>
              <w:left w:val="none" w:sz="6" w:space="0" w:color="auto"/>
              <w:bottom w:val="none" w:sz="6" w:space="0" w:color="auto"/>
            </w:tcBorders>
          </w:tcPr>
          <w:p w14:paraId="5D5DA976" w14:textId="70209C3E" w:rsidR="00474AE1" w:rsidRDefault="00474AE1">
            <w:pPr>
              <w:pStyle w:val="Default"/>
              <w:rPr>
                <w:sz w:val="22"/>
                <w:szCs w:val="22"/>
              </w:rPr>
            </w:pPr>
            <w:r>
              <w:rPr>
                <w:sz w:val="22"/>
                <w:szCs w:val="22"/>
              </w:rPr>
              <w:t xml:space="preserve">A sum of money made available for a specific purpose. </w:t>
            </w:r>
          </w:p>
        </w:tc>
      </w:tr>
      <w:tr w:rsidR="00474AE1" w14:paraId="42AA4572" w14:textId="77777777">
        <w:trPr>
          <w:trHeight w:val="244"/>
        </w:trPr>
        <w:tc>
          <w:tcPr>
            <w:tcW w:w="4397" w:type="dxa"/>
            <w:tcBorders>
              <w:top w:val="none" w:sz="6" w:space="0" w:color="auto"/>
              <w:bottom w:val="none" w:sz="6" w:space="0" w:color="auto"/>
              <w:right w:val="none" w:sz="6" w:space="0" w:color="auto"/>
            </w:tcBorders>
          </w:tcPr>
          <w:p w14:paraId="089B8BFB" w14:textId="2E16D84E" w:rsidR="00474AE1" w:rsidRPr="006F23D8" w:rsidRDefault="00474AE1">
            <w:pPr>
              <w:pStyle w:val="Default"/>
              <w:rPr>
                <w:b/>
                <w:bCs/>
                <w:color w:val="001F5F"/>
              </w:rPr>
            </w:pPr>
            <w:r w:rsidRPr="006F23D8">
              <w:rPr>
                <w:b/>
                <w:bCs/>
                <w:color w:val="001F5F"/>
              </w:rPr>
              <w:t xml:space="preserve">Good Standing </w:t>
            </w:r>
          </w:p>
        </w:tc>
        <w:tc>
          <w:tcPr>
            <w:tcW w:w="4397" w:type="dxa"/>
            <w:tcBorders>
              <w:top w:val="none" w:sz="6" w:space="0" w:color="auto"/>
              <w:left w:val="none" w:sz="6" w:space="0" w:color="auto"/>
              <w:bottom w:val="none" w:sz="6" w:space="0" w:color="auto"/>
            </w:tcBorders>
          </w:tcPr>
          <w:p w14:paraId="5255DA73" w14:textId="3D7503D3" w:rsidR="00474AE1" w:rsidRDefault="00474AE1">
            <w:pPr>
              <w:pStyle w:val="Default"/>
              <w:rPr>
                <w:sz w:val="22"/>
                <w:szCs w:val="22"/>
              </w:rPr>
            </w:pPr>
            <w:r>
              <w:rPr>
                <w:sz w:val="22"/>
                <w:szCs w:val="22"/>
              </w:rPr>
              <w:t xml:space="preserve">The belief that and individual or entity owner would not intentionally or inadvertently apply any funds or assets received from criminal purposes. </w:t>
            </w:r>
          </w:p>
        </w:tc>
      </w:tr>
      <w:tr w:rsidR="00474AE1" w14:paraId="3B08FBCE" w14:textId="77777777">
        <w:trPr>
          <w:trHeight w:val="244"/>
        </w:trPr>
        <w:tc>
          <w:tcPr>
            <w:tcW w:w="4397" w:type="dxa"/>
            <w:tcBorders>
              <w:top w:val="none" w:sz="6" w:space="0" w:color="auto"/>
              <w:bottom w:val="none" w:sz="6" w:space="0" w:color="auto"/>
              <w:right w:val="none" w:sz="6" w:space="0" w:color="auto"/>
            </w:tcBorders>
          </w:tcPr>
          <w:p w14:paraId="1936EDD3" w14:textId="4D20872D" w:rsidR="00474AE1" w:rsidRPr="006F23D8" w:rsidRDefault="00474AE1">
            <w:pPr>
              <w:pStyle w:val="Default"/>
              <w:rPr>
                <w:b/>
                <w:bCs/>
                <w:color w:val="001F5F"/>
              </w:rPr>
            </w:pPr>
            <w:r w:rsidRPr="006F23D8">
              <w:rPr>
                <w:b/>
                <w:bCs/>
                <w:color w:val="001F5F"/>
              </w:rPr>
              <w:t xml:space="preserve">International Partner </w:t>
            </w:r>
          </w:p>
        </w:tc>
        <w:tc>
          <w:tcPr>
            <w:tcW w:w="4397" w:type="dxa"/>
            <w:tcBorders>
              <w:top w:val="none" w:sz="6" w:space="0" w:color="auto"/>
              <w:left w:val="none" w:sz="6" w:space="0" w:color="auto"/>
              <w:bottom w:val="none" w:sz="6" w:space="0" w:color="auto"/>
            </w:tcBorders>
          </w:tcPr>
          <w:p w14:paraId="6B4E6F19" w14:textId="73EE94CC" w:rsidR="00474AE1" w:rsidRDefault="00474AE1">
            <w:pPr>
              <w:pStyle w:val="Default"/>
              <w:rPr>
                <w:sz w:val="22"/>
                <w:szCs w:val="22"/>
              </w:rPr>
            </w:pPr>
            <w:r>
              <w:rPr>
                <w:sz w:val="22"/>
                <w:szCs w:val="22"/>
              </w:rPr>
              <w:t xml:space="preserve">An affiliated organisation or any other entity or individual with which a registered organisation has arrangements in place for the purposes of providing funds or other assets or other forms of assistance outside the Bailiwick. </w:t>
            </w:r>
          </w:p>
        </w:tc>
      </w:tr>
      <w:tr w:rsidR="00474AE1" w14:paraId="22A70C17" w14:textId="77777777">
        <w:trPr>
          <w:trHeight w:val="244"/>
        </w:trPr>
        <w:tc>
          <w:tcPr>
            <w:tcW w:w="4397" w:type="dxa"/>
            <w:tcBorders>
              <w:top w:val="none" w:sz="6" w:space="0" w:color="auto"/>
              <w:bottom w:val="none" w:sz="6" w:space="0" w:color="auto"/>
              <w:right w:val="none" w:sz="6" w:space="0" w:color="auto"/>
            </w:tcBorders>
          </w:tcPr>
          <w:p w14:paraId="62B0F310" w14:textId="22CF52F1" w:rsidR="00474AE1" w:rsidRPr="006F23D8" w:rsidRDefault="00474AE1">
            <w:pPr>
              <w:pStyle w:val="Default"/>
              <w:rPr>
                <w:b/>
                <w:bCs/>
                <w:color w:val="001F5F"/>
              </w:rPr>
            </w:pPr>
            <w:r w:rsidRPr="006F23D8">
              <w:rPr>
                <w:b/>
                <w:bCs/>
                <w:color w:val="001F5F"/>
              </w:rPr>
              <w:t xml:space="preserve">Significant Funds, Donations, or Other Assets </w:t>
            </w:r>
          </w:p>
        </w:tc>
        <w:tc>
          <w:tcPr>
            <w:tcW w:w="4397" w:type="dxa"/>
            <w:tcBorders>
              <w:top w:val="none" w:sz="6" w:space="0" w:color="auto"/>
              <w:left w:val="none" w:sz="6" w:space="0" w:color="auto"/>
              <w:bottom w:val="none" w:sz="6" w:space="0" w:color="auto"/>
            </w:tcBorders>
          </w:tcPr>
          <w:p w14:paraId="396995DD" w14:textId="06ADB2B5" w:rsidR="00474AE1" w:rsidRDefault="00474AE1">
            <w:pPr>
              <w:pStyle w:val="Default"/>
              <w:rPr>
                <w:sz w:val="22"/>
                <w:szCs w:val="22"/>
              </w:rPr>
            </w:pPr>
            <w:r>
              <w:rPr>
                <w:sz w:val="22"/>
                <w:szCs w:val="22"/>
              </w:rPr>
              <w:t xml:space="preserve">Monetary payments that exceed £15,000 in any given year (in one or multiple payments) and items donated in a single or series of transactions that are tradable on an open market and it is apparent that their value exceeds £15,000 at the time of donation. </w:t>
            </w:r>
          </w:p>
        </w:tc>
      </w:tr>
      <w:tr w:rsidR="00474AE1" w14:paraId="06933606" w14:textId="77777777">
        <w:trPr>
          <w:trHeight w:val="244"/>
        </w:trPr>
        <w:tc>
          <w:tcPr>
            <w:tcW w:w="4397" w:type="dxa"/>
            <w:tcBorders>
              <w:top w:val="none" w:sz="6" w:space="0" w:color="auto"/>
              <w:bottom w:val="none" w:sz="6" w:space="0" w:color="auto"/>
              <w:right w:val="none" w:sz="6" w:space="0" w:color="auto"/>
            </w:tcBorders>
          </w:tcPr>
          <w:p w14:paraId="7D8788CC" w14:textId="50AD8459" w:rsidR="00474AE1" w:rsidRPr="006F23D8" w:rsidRDefault="00474AE1">
            <w:pPr>
              <w:pStyle w:val="Default"/>
              <w:rPr>
                <w:b/>
                <w:bCs/>
                <w:color w:val="001F5F"/>
              </w:rPr>
            </w:pPr>
            <w:r w:rsidRPr="006F23D8">
              <w:rPr>
                <w:b/>
                <w:bCs/>
                <w:color w:val="001F5F"/>
              </w:rPr>
              <w:t xml:space="preserve">Suspicious </w:t>
            </w:r>
          </w:p>
        </w:tc>
        <w:tc>
          <w:tcPr>
            <w:tcW w:w="4397" w:type="dxa"/>
            <w:tcBorders>
              <w:top w:val="none" w:sz="6" w:space="0" w:color="auto"/>
              <w:left w:val="none" w:sz="6" w:space="0" w:color="auto"/>
              <w:bottom w:val="none" w:sz="6" w:space="0" w:color="auto"/>
            </w:tcBorders>
          </w:tcPr>
          <w:p w14:paraId="5397EE06" w14:textId="2BBB25D2" w:rsidR="00474AE1" w:rsidRDefault="00474AE1">
            <w:pPr>
              <w:pStyle w:val="Default"/>
              <w:rPr>
                <w:sz w:val="22"/>
                <w:szCs w:val="22"/>
              </w:rPr>
            </w:pPr>
            <w:r>
              <w:rPr>
                <w:sz w:val="22"/>
                <w:szCs w:val="22"/>
              </w:rPr>
              <w:t xml:space="preserve">Being beyond mere speculation, based upon some substance that is less than personal or subjective knowledge but does not require proof that an activity may be related to financial crime. </w:t>
            </w:r>
          </w:p>
        </w:tc>
      </w:tr>
      <w:tr w:rsidR="00474AE1" w14:paraId="4DB65169" w14:textId="77777777">
        <w:trPr>
          <w:trHeight w:val="244"/>
        </w:trPr>
        <w:tc>
          <w:tcPr>
            <w:tcW w:w="4397" w:type="dxa"/>
            <w:tcBorders>
              <w:top w:val="none" w:sz="6" w:space="0" w:color="auto"/>
              <w:bottom w:val="none" w:sz="6" w:space="0" w:color="auto"/>
              <w:right w:val="none" w:sz="6" w:space="0" w:color="auto"/>
            </w:tcBorders>
          </w:tcPr>
          <w:p w14:paraId="52A3519F" w14:textId="28598904" w:rsidR="00474AE1" w:rsidRPr="006F23D8" w:rsidRDefault="00474AE1">
            <w:pPr>
              <w:pStyle w:val="Default"/>
              <w:rPr>
                <w:color w:val="001F5F"/>
              </w:rPr>
            </w:pPr>
            <w:r w:rsidRPr="006F23D8">
              <w:rPr>
                <w:b/>
                <w:bCs/>
                <w:color w:val="001F5F"/>
              </w:rPr>
              <w:t xml:space="preserve">Statutory </w:t>
            </w:r>
          </w:p>
        </w:tc>
        <w:tc>
          <w:tcPr>
            <w:tcW w:w="4397" w:type="dxa"/>
            <w:tcBorders>
              <w:top w:val="none" w:sz="6" w:space="0" w:color="auto"/>
              <w:left w:val="none" w:sz="6" w:space="0" w:color="auto"/>
              <w:bottom w:val="none" w:sz="6" w:space="0" w:color="auto"/>
            </w:tcBorders>
          </w:tcPr>
          <w:p w14:paraId="5E7F1E32" w14:textId="6CFD0CBC" w:rsidR="00474AE1" w:rsidRDefault="00474AE1">
            <w:pPr>
              <w:pStyle w:val="Default"/>
              <w:rPr>
                <w:sz w:val="22"/>
                <w:szCs w:val="22"/>
              </w:rPr>
            </w:pPr>
            <w:r>
              <w:rPr>
                <w:sz w:val="22"/>
                <w:szCs w:val="22"/>
              </w:rPr>
              <w:t xml:space="preserve">A requirement that is derived from a law which has been passed by a legislative body. </w:t>
            </w:r>
          </w:p>
        </w:tc>
      </w:tr>
    </w:tbl>
    <w:p w14:paraId="0639DEC2" w14:textId="24FC8F55" w:rsidR="00D33346" w:rsidRDefault="00D33346"/>
    <w:p w14:paraId="70FE84E1" w14:textId="20EECAB6" w:rsidR="0048579A" w:rsidRDefault="0048579A" w:rsidP="00F4367F">
      <w:pPr>
        <w:pStyle w:val="Default"/>
        <w:numPr>
          <w:ilvl w:val="0"/>
          <w:numId w:val="1"/>
        </w:numPr>
        <w:rPr>
          <w:b/>
          <w:bCs/>
          <w:color w:val="auto"/>
          <w:sz w:val="32"/>
          <w:szCs w:val="32"/>
        </w:rPr>
      </w:pPr>
      <w:r w:rsidRPr="0048579A">
        <w:rPr>
          <w:b/>
          <w:bCs/>
          <w:color w:val="auto"/>
          <w:sz w:val="32"/>
          <w:szCs w:val="32"/>
        </w:rPr>
        <w:lastRenderedPageBreak/>
        <w:t xml:space="preserve">Why this Policy is Needed </w:t>
      </w:r>
    </w:p>
    <w:p w14:paraId="72556ABB" w14:textId="77777777" w:rsidR="0048579A" w:rsidRPr="0048579A" w:rsidRDefault="0048579A" w:rsidP="0048579A">
      <w:pPr>
        <w:pStyle w:val="Default"/>
        <w:rPr>
          <w:b/>
          <w:bCs/>
          <w:color w:val="auto"/>
          <w:sz w:val="32"/>
          <w:szCs w:val="32"/>
        </w:rPr>
      </w:pPr>
    </w:p>
    <w:p w14:paraId="5A424AF7" w14:textId="38194106" w:rsidR="003B2736" w:rsidRPr="000E207A" w:rsidRDefault="0048579A" w:rsidP="003B2736">
      <w:pPr>
        <w:pStyle w:val="Default"/>
        <w:numPr>
          <w:ilvl w:val="1"/>
          <w:numId w:val="1"/>
        </w:numPr>
        <w:spacing w:after="39"/>
      </w:pPr>
      <w:r w:rsidRPr="000E207A">
        <w:t xml:space="preserve">The </w:t>
      </w:r>
      <w:r w:rsidR="00D16D2F" w:rsidRPr="000E207A">
        <w:t>Guernsey island Games Association LBG (</w:t>
      </w:r>
      <w:r w:rsidR="000E7B89">
        <w:t>“</w:t>
      </w:r>
      <w:r w:rsidR="00D16D2F" w:rsidRPr="000E207A">
        <w:t>GIGA</w:t>
      </w:r>
      <w:r w:rsidR="000E7B89">
        <w:t>”</w:t>
      </w:r>
      <w:r w:rsidR="00D16D2F" w:rsidRPr="000E207A">
        <w:t>)</w:t>
      </w:r>
      <w:r w:rsidR="00AD486A" w:rsidRPr="000E207A">
        <w:t xml:space="preserve"> </w:t>
      </w:r>
      <w:r w:rsidRPr="000E207A">
        <w:t xml:space="preserve">has adopted this policy to avoid aiding Financial Crime. </w:t>
      </w:r>
      <w:r w:rsidR="00BF3E74" w:rsidRPr="000E207A">
        <w:t>GIGA</w:t>
      </w:r>
      <w:r w:rsidRPr="000E207A">
        <w:t xml:space="preserve"> will actively ensure its compliance with The Charities etc (Amendments, Exemptions, Governance and Specified Amount) (Guernsey and Alderney) Regulations, 2022 and The Charities etc (Guernsey and Alderney) Ordinance, 2021 by following the measures set out within this policy. </w:t>
      </w:r>
      <w:r w:rsidR="003B2736" w:rsidRPr="000E207A">
        <w:br/>
      </w:r>
    </w:p>
    <w:p w14:paraId="06D1C6DE" w14:textId="77777777" w:rsidR="00DD4015" w:rsidRPr="000E207A" w:rsidRDefault="008B0410" w:rsidP="00A87DE5">
      <w:pPr>
        <w:pStyle w:val="Default"/>
        <w:numPr>
          <w:ilvl w:val="1"/>
          <w:numId w:val="1"/>
        </w:numPr>
        <w:spacing w:after="39"/>
      </w:pPr>
      <w:r w:rsidRPr="000E207A">
        <w:t>GIGA</w:t>
      </w:r>
      <w:r w:rsidR="003B2736" w:rsidRPr="000E207A">
        <w:t xml:space="preserve"> will reduce the likelihood of its reputational and regulatory </w:t>
      </w:r>
      <w:proofErr w:type="gramStart"/>
      <w:r w:rsidR="003B2736" w:rsidRPr="000E207A">
        <w:t>risk, and</w:t>
      </w:r>
      <w:proofErr w:type="gramEnd"/>
      <w:r w:rsidR="003B2736" w:rsidRPr="000E207A">
        <w:t xml:space="preserve"> will take active measures to manage any exposure to their impact by the following means.</w:t>
      </w:r>
      <w:r w:rsidR="00DD4015" w:rsidRPr="000E207A">
        <w:br/>
      </w:r>
    </w:p>
    <w:p w14:paraId="02F4D2F4" w14:textId="124BF3B9" w:rsidR="00A87DE5" w:rsidRPr="000E207A" w:rsidRDefault="0048579A" w:rsidP="00A87DE5">
      <w:pPr>
        <w:pStyle w:val="Default"/>
        <w:numPr>
          <w:ilvl w:val="1"/>
          <w:numId w:val="1"/>
        </w:numPr>
        <w:spacing w:after="39"/>
      </w:pPr>
      <w:r w:rsidRPr="000E207A">
        <w:t xml:space="preserve">The policy is relevant </w:t>
      </w:r>
      <w:proofErr w:type="gramStart"/>
      <w:r w:rsidRPr="000E207A">
        <w:t>to, and</w:t>
      </w:r>
      <w:proofErr w:type="gramEnd"/>
      <w:r w:rsidRPr="000E207A">
        <w:t xml:space="preserve"> must be followed by the Non-Profit Organisation or Charity (“the organisation”) because it: </w:t>
      </w:r>
      <w:r w:rsidR="00DA2BEC" w:rsidRPr="000E207A">
        <w:br/>
      </w:r>
      <w:r w:rsidR="00F402AF" w:rsidRPr="000E207A">
        <w:br/>
      </w:r>
      <w:r w:rsidRPr="000E207A">
        <w:t>- 1.3.1. Carries out international activity</w:t>
      </w:r>
      <w:r w:rsidR="00DA2BEC" w:rsidRPr="000E207A">
        <w:t xml:space="preserve"> through the support </w:t>
      </w:r>
      <w:r w:rsidR="00C55380" w:rsidRPr="000E207A">
        <w:t>of the Guernsey Island Games teams to travel and compete abroad in the Island Games events</w:t>
      </w:r>
      <w:r w:rsidRPr="000E207A">
        <w:t xml:space="preserve">; and/or </w:t>
      </w:r>
      <w:r w:rsidR="00D16D2F" w:rsidRPr="000E207A">
        <w:br/>
        <w:t xml:space="preserve">- </w:t>
      </w:r>
      <w:r w:rsidRPr="000E207A">
        <w:t>1.3.2. Accepts donations, funds or contributions from the public,</w:t>
      </w:r>
      <w:r w:rsidR="00A87DE5" w:rsidRPr="000E207A">
        <w:br/>
      </w:r>
      <w:r w:rsidR="00A87DE5" w:rsidRPr="000E207A">
        <w:br/>
        <w:t>and is therefore required to register with the Guernsey Registry.</w:t>
      </w:r>
    </w:p>
    <w:p w14:paraId="03164B7A" w14:textId="38C6F124" w:rsidR="0048579A" w:rsidRPr="000E207A" w:rsidRDefault="0048579A" w:rsidP="00DD4015">
      <w:pPr>
        <w:pStyle w:val="Default"/>
        <w:spacing w:after="39"/>
        <w:ind w:left="384"/>
      </w:pPr>
    </w:p>
    <w:p w14:paraId="095A2884" w14:textId="77777777" w:rsidR="0048579A" w:rsidRPr="000E207A" w:rsidRDefault="0048579A" w:rsidP="0048579A">
      <w:pPr>
        <w:pStyle w:val="Default"/>
      </w:pPr>
    </w:p>
    <w:p w14:paraId="62D11556" w14:textId="431DB849" w:rsidR="0048579A" w:rsidRPr="000E207A" w:rsidRDefault="0048579A" w:rsidP="0048579A">
      <w:pPr>
        <w:pStyle w:val="Default"/>
      </w:pPr>
      <w:r w:rsidRPr="000E207A">
        <w:t xml:space="preserve">1.4. </w:t>
      </w:r>
      <w:r w:rsidR="00867FF5" w:rsidRPr="000E207A">
        <w:t>GIGA</w:t>
      </w:r>
      <w:r w:rsidR="00E47FEC" w:rsidRPr="000E207A">
        <w:t>,</w:t>
      </w:r>
      <w:r w:rsidR="00C4143E" w:rsidRPr="000E207A">
        <w:t xml:space="preserve"> as a</w:t>
      </w:r>
      <w:r w:rsidRPr="000E207A">
        <w:t xml:space="preserve"> </w:t>
      </w:r>
      <w:r w:rsidR="00666505" w:rsidRPr="000E207A">
        <w:t xml:space="preserve">Bailiwick of </w:t>
      </w:r>
      <w:r w:rsidRPr="000E207A">
        <w:t xml:space="preserve">Guernsey </w:t>
      </w:r>
      <w:r w:rsidR="00666505" w:rsidRPr="000E207A">
        <w:t>registered charity,</w:t>
      </w:r>
      <w:r w:rsidRPr="000E207A">
        <w:t xml:space="preserve"> having considered the risks to which </w:t>
      </w:r>
      <w:r w:rsidR="00E47FEC" w:rsidRPr="000E207A">
        <w:t xml:space="preserve">its </w:t>
      </w:r>
      <w:r w:rsidRPr="000E207A">
        <w:t>activities and operations are or could be exposed to, voluntarily implement</w:t>
      </w:r>
      <w:r w:rsidR="00E47FEC" w:rsidRPr="000E207A">
        <w:t>s</w:t>
      </w:r>
      <w:r w:rsidRPr="000E207A">
        <w:t xml:space="preserve"> and abide</w:t>
      </w:r>
      <w:r w:rsidR="00E47FEC" w:rsidRPr="000E207A">
        <w:t>s</w:t>
      </w:r>
      <w:r w:rsidR="00034E04" w:rsidRPr="000E207A">
        <w:t xml:space="preserve"> by this</w:t>
      </w:r>
      <w:r w:rsidRPr="000E207A">
        <w:t xml:space="preserve"> policy to manage </w:t>
      </w:r>
      <w:r w:rsidR="00034E04" w:rsidRPr="000E207A">
        <w:t>the</w:t>
      </w:r>
      <w:r w:rsidRPr="000E207A">
        <w:t xml:space="preserve"> reputational impact</w:t>
      </w:r>
      <w:r w:rsidR="00034E04" w:rsidRPr="000E207A">
        <w:t xml:space="preserve"> of any </w:t>
      </w:r>
      <w:r w:rsidR="0046157B" w:rsidRPr="000E207A">
        <w:t>identified financial crime</w:t>
      </w:r>
      <w:r w:rsidRPr="000E207A">
        <w:t>.</w:t>
      </w:r>
      <w:r w:rsidR="00F3642F" w:rsidRPr="000E207A">
        <w:br/>
      </w:r>
      <w:r w:rsidRPr="000E207A">
        <w:t xml:space="preserve"> </w:t>
      </w:r>
    </w:p>
    <w:p w14:paraId="0A2C7CB9" w14:textId="561FCE03" w:rsidR="0048579A" w:rsidRPr="000E207A" w:rsidRDefault="0048579A" w:rsidP="0048579A">
      <w:pPr>
        <w:pStyle w:val="Default"/>
      </w:pPr>
      <w:r w:rsidRPr="000E207A">
        <w:t xml:space="preserve">1.5. Obligations for </w:t>
      </w:r>
      <w:r w:rsidR="00491E60" w:rsidRPr="000E207A">
        <w:t>GIGA as a Bailiwick of Guernsey registered charity</w:t>
      </w:r>
      <w:r w:rsidRPr="000E207A">
        <w:t xml:space="preserve"> relating to financial crime risk mitigation are set out within The Charities etc (Amendments, Exemptions, Governance and Specified Amount) (Guernsey and Alderney) Regulations, 2022 (“the Regulations”) under the powers of the Charities etc (Guernsey and Alderney) Ordinance, 2021 (“the Ordinance”).</w:t>
      </w:r>
      <w:r w:rsidR="00491E60" w:rsidRPr="000E207A">
        <w:br/>
      </w:r>
      <w:r w:rsidRPr="000E207A">
        <w:t xml:space="preserve"> </w:t>
      </w:r>
    </w:p>
    <w:p w14:paraId="67B96C64" w14:textId="1D2F3EA8" w:rsidR="0048579A" w:rsidRPr="000E207A" w:rsidRDefault="0048579A" w:rsidP="0048579A">
      <w:pPr>
        <w:pStyle w:val="Default"/>
      </w:pPr>
      <w:r w:rsidRPr="000E207A">
        <w:t xml:space="preserve">1.6. The Regulations oblige </w:t>
      </w:r>
      <w:r w:rsidR="00491E60" w:rsidRPr="000E207A">
        <w:t>GIGA</w:t>
      </w:r>
      <w:r w:rsidRPr="000E207A">
        <w:t xml:space="preserve"> to have an anti-financial crime policy and provide a copy to the Registrar when applying for registration.</w:t>
      </w:r>
      <w:r w:rsidR="00491E60" w:rsidRPr="000E207A">
        <w:br/>
      </w:r>
      <w:r w:rsidRPr="000E207A">
        <w:t xml:space="preserve"> </w:t>
      </w:r>
    </w:p>
    <w:p w14:paraId="1580714C" w14:textId="77777777" w:rsidR="00833E76" w:rsidRPr="000E207A" w:rsidRDefault="0048579A" w:rsidP="0048579A">
      <w:pPr>
        <w:pStyle w:val="Default"/>
        <w:spacing w:after="39"/>
      </w:pPr>
      <w:r w:rsidRPr="000E207A">
        <w:t xml:space="preserve">1.7. The regulations also set out a general obligation for the mitigation of risk which requires the organisation to put in place all necessary internal or other controls to ensure that neither it, nor its activities, can be used for criminal purposes. Measures are necessary to ensure: </w:t>
      </w:r>
      <w:r w:rsidR="00833E76" w:rsidRPr="000E207A">
        <w:br/>
      </w:r>
    </w:p>
    <w:p w14:paraId="5A69FB46" w14:textId="77777777" w:rsidR="00D12A7C" w:rsidRPr="000E207A" w:rsidRDefault="0048579A" w:rsidP="00D12A7C">
      <w:pPr>
        <w:pStyle w:val="Default"/>
      </w:pPr>
      <w:r w:rsidRPr="000E207A">
        <w:t xml:space="preserve">- 1.7.1. Funds / assets are accounted for; </w:t>
      </w:r>
      <w:r w:rsidR="00833E76" w:rsidRPr="000E207A">
        <w:br/>
        <w:t xml:space="preserve">- </w:t>
      </w:r>
      <w:r w:rsidRPr="000E207A">
        <w:t xml:space="preserve">1.7.2. Funds / assets are used in a manner consistent with </w:t>
      </w:r>
      <w:r w:rsidR="00FB4CCB" w:rsidRPr="000E207A">
        <w:t>GIGA’s</w:t>
      </w:r>
      <w:r w:rsidRPr="000E207A">
        <w:t xml:space="preserve"> purpose, mission, and objectives; and </w:t>
      </w:r>
    </w:p>
    <w:p w14:paraId="48B4BA11" w14:textId="62535E09" w:rsidR="00D12A7C" w:rsidRPr="000E207A" w:rsidRDefault="00223FF6" w:rsidP="00D12A7C">
      <w:pPr>
        <w:pStyle w:val="Default"/>
      </w:pPr>
      <w:r w:rsidRPr="000E207A">
        <w:lastRenderedPageBreak/>
        <w:t xml:space="preserve">- 1.7.3. </w:t>
      </w:r>
      <w:r w:rsidR="00D12A7C" w:rsidRPr="000E207A">
        <w:t xml:space="preserve">The organisation fulfils all applicable obligations under its constitution / governing document and discharges any legal obligations. </w:t>
      </w:r>
    </w:p>
    <w:p w14:paraId="39EAC07E" w14:textId="77777777" w:rsidR="0063142D" w:rsidRPr="000E207A" w:rsidRDefault="0063142D">
      <w:pPr>
        <w:rPr>
          <w:rFonts w:ascii="Calibri" w:hAnsi="Calibri" w:cs="Calibri"/>
          <w:color w:val="000000"/>
          <w:sz w:val="24"/>
          <w:szCs w:val="24"/>
        </w:rPr>
      </w:pPr>
      <w:r w:rsidRPr="000E207A">
        <w:rPr>
          <w:sz w:val="24"/>
          <w:szCs w:val="24"/>
        </w:rPr>
        <w:br w:type="page"/>
      </w:r>
    </w:p>
    <w:p w14:paraId="4CE74815" w14:textId="762C1E9B" w:rsidR="0063142D" w:rsidRPr="00AC0FA3" w:rsidRDefault="00F4367F" w:rsidP="00F4367F">
      <w:pPr>
        <w:pStyle w:val="Default"/>
        <w:numPr>
          <w:ilvl w:val="0"/>
          <w:numId w:val="1"/>
        </w:numPr>
        <w:rPr>
          <w:b/>
          <w:bCs/>
          <w:sz w:val="32"/>
          <w:szCs w:val="32"/>
        </w:rPr>
      </w:pPr>
      <w:r w:rsidRPr="000E207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What</w:t>
      </w:r>
      <w:r w:rsidRPr="00AC0FA3">
        <w:rPr>
          <w:b/>
          <w:bCs/>
          <w:sz w:val="32"/>
          <w:szCs w:val="32"/>
        </w:rPr>
        <w:t xml:space="preserve"> this Policy </w:t>
      </w:r>
      <w:r w:rsidR="00AC0FA3" w:rsidRPr="00AC0FA3">
        <w:rPr>
          <w:b/>
          <w:bCs/>
          <w:sz w:val="32"/>
          <w:szCs w:val="32"/>
        </w:rPr>
        <w:t>Aims to Achieve</w:t>
      </w:r>
    </w:p>
    <w:p w14:paraId="2D98E3E3" w14:textId="439DD2B8" w:rsidR="00AE397A" w:rsidRPr="000E207A" w:rsidRDefault="00752493" w:rsidP="0063142D">
      <w:pPr>
        <w:pStyle w:val="Default"/>
        <w:spacing w:after="39"/>
      </w:pPr>
      <w:r>
        <w:rPr>
          <w:sz w:val="22"/>
          <w:szCs w:val="22"/>
        </w:rPr>
        <w:br/>
      </w:r>
      <w:r w:rsidR="0063142D" w:rsidRPr="000E207A">
        <w:t xml:space="preserve">2.1. This Policy aims to reduce and counter financial crime arising from: </w:t>
      </w:r>
      <w:r w:rsidR="00AE397A" w:rsidRPr="000E207A">
        <w:br/>
      </w:r>
    </w:p>
    <w:p w14:paraId="5FC5363A" w14:textId="73A8CBA1" w:rsidR="0063142D" w:rsidRPr="000E207A" w:rsidRDefault="0063142D" w:rsidP="0063142D">
      <w:pPr>
        <w:pStyle w:val="Default"/>
        <w:spacing w:after="39"/>
      </w:pPr>
      <w:r w:rsidRPr="000E207A">
        <w:t xml:space="preserve">- 2.1.1. the laundering of criminal </w:t>
      </w:r>
      <w:proofErr w:type="gramStart"/>
      <w:r w:rsidRPr="000E207A">
        <w:t>proceeds;</w:t>
      </w:r>
      <w:proofErr w:type="gramEnd"/>
      <w:r w:rsidRPr="000E207A">
        <w:t xml:space="preserve"> </w:t>
      </w:r>
    </w:p>
    <w:p w14:paraId="2BBE3ECA" w14:textId="797AE597" w:rsidR="0063142D" w:rsidRPr="000E207A" w:rsidRDefault="00AE397A" w:rsidP="0063142D">
      <w:pPr>
        <w:pStyle w:val="Default"/>
        <w:spacing w:after="39"/>
      </w:pPr>
      <w:r w:rsidRPr="000E207A">
        <w:t xml:space="preserve">- </w:t>
      </w:r>
      <w:r w:rsidR="0063142D" w:rsidRPr="000E207A">
        <w:t xml:space="preserve">2.1.2. the financing of </w:t>
      </w:r>
      <w:proofErr w:type="gramStart"/>
      <w:r w:rsidR="0063142D" w:rsidRPr="000E207A">
        <w:t>terrorism;</w:t>
      </w:r>
      <w:proofErr w:type="gramEnd"/>
      <w:r w:rsidR="0063142D" w:rsidRPr="000E207A">
        <w:t xml:space="preserve"> </w:t>
      </w:r>
    </w:p>
    <w:p w14:paraId="3C7B9E8E" w14:textId="369DB3E4" w:rsidR="0063142D" w:rsidRPr="000E207A" w:rsidRDefault="00677F55" w:rsidP="0063142D">
      <w:pPr>
        <w:pStyle w:val="Default"/>
        <w:spacing w:after="39"/>
      </w:pPr>
      <w:r w:rsidRPr="000E207A">
        <w:t xml:space="preserve">- </w:t>
      </w:r>
      <w:r w:rsidR="0063142D" w:rsidRPr="000E207A">
        <w:t xml:space="preserve">2.1.3. bribery and </w:t>
      </w:r>
      <w:proofErr w:type="gramStart"/>
      <w:r w:rsidR="0063142D" w:rsidRPr="000E207A">
        <w:t>corruption;</w:t>
      </w:r>
      <w:proofErr w:type="gramEnd"/>
      <w:r w:rsidR="0063142D" w:rsidRPr="000E207A">
        <w:t xml:space="preserve"> </w:t>
      </w:r>
    </w:p>
    <w:p w14:paraId="6D7E78E3" w14:textId="51611594" w:rsidR="0063142D" w:rsidRPr="000E207A" w:rsidRDefault="00677F55" w:rsidP="0063142D">
      <w:pPr>
        <w:pStyle w:val="Default"/>
        <w:spacing w:after="39"/>
      </w:pPr>
      <w:r w:rsidRPr="000E207A">
        <w:t xml:space="preserve">- </w:t>
      </w:r>
      <w:r w:rsidR="0063142D" w:rsidRPr="000E207A">
        <w:t xml:space="preserve">2.1.4. the financing of the proliferation of weapons of mass destruction; and </w:t>
      </w:r>
    </w:p>
    <w:p w14:paraId="27F08B5C" w14:textId="666B7670" w:rsidR="0063142D" w:rsidRPr="000E207A" w:rsidRDefault="00677F55" w:rsidP="0063142D">
      <w:pPr>
        <w:pStyle w:val="Default"/>
      </w:pPr>
      <w:r w:rsidRPr="000E207A">
        <w:t xml:space="preserve">- </w:t>
      </w:r>
      <w:r w:rsidR="0063142D" w:rsidRPr="000E207A">
        <w:t xml:space="preserve">2.1.5. any other form of financial or non-financial crime. </w:t>
      </w:r>
    </w:p>
    <w:p w14:paraId="521F1BAB" w14:textId="77777777" w:rsidR="0063142D" w:rsidRPr="000E207A" w:rsidRDefault="0063142D" w:rsidP="0063142D">
      <w:pPr>
        <w:pStyle w:val="Default"/>
      </w:pPr>
    </w:p>
    <w:p w14:paraId="3C12554B" w14:textId="77777777" w:rsidR="00822A30" w:rsidRDefault="0063142D" w:rsidP="0063142D">
      <w:pPr>
        <w:pStyle w:val="Default"/>
        <w:rPr>
          <w:sz w:val="22"/>
          <w:szCs w:val="22"/>
        </w:rPr>
      </w:pPr>
      <w:r w:rsidRPr="000E207A">
        <w:t xml:space="preserve">2.2. The adoption of this Policy should encourage the awareness of the financial crime risks and the mitigations which should be taken to enhance the culture within the organisation and help prevent exploitation from criminals and terrorists occurring. </w:t>
      </w:r>
      <w:r w:rsidR="005A1C16" w:rsidRPr="000E207A">
        <w:br/>
      </w:r>
      <w:r w:rsidR="005A1C16">
        <w:rPr>
          <w:sz w:val="22"/>
          <w:szCs w:val="22"/>
        </w:rPr>
        <w:br/>
      </w:r>
    </w:p>
    <w:p w14:paraId="435A841A" w14:textId="0C15F600" w:rsidR="0063142D" w:rsidRPr="000E207A" w:rsidRDefault="00822A30" w:rsidP="0063142D">
      <w:pPr>
        <w:pStyle w:val="Default"/>
      </w:pPr>
      <w:r w:rsidRPr="005111D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Introduction to Money Laundering</w:t>
      </w:r>
      <w:r w:rsidR="005A1C16" w:rsidRPr="000E207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5A1C16" w:rsidRPr="00822A30">
        <w:rPr>
          <w:sz w:val="32"/>
          <w:szCs w:val="32"/>
        </w:rPr>
        <w:br/>
      </w:r>
      <w:r w:rsidR="0063142D" w:rsidRPr="000E207A">
        <w:t xml:space="preserve">3.1. Money Laundering (“ML”) is the process by which criminals seek to disguise the illicit origins of their funds / assets. ML involves cash, electronic </w:t>
      </w:r>
      <w:proofErr w:type="gramStart"/>
      <w:r w:rsidR="0063142D" w:rsidRPr="000E207A">
        <w:t>payments</w:t>
      </w:r>
      <w:proofErr w:type="gramEnd"/>
      <w:r w:rsidR="0063142D" w:rsidRPr="000E207A">
        <w:t xml:space="preserve"> and assets of any value. ML requires an underlying, primary, profit-making crime, along with the intent to conceal the proceeds of the crime or to further the criminal enterprise. </w:t>
      </w:r>
      <w:r w:rsidR="000E207A" w:rsidRPr="000E207A">
        <w:br/>
      </w:r>
    </w:p>
    <w:p w14:paraId="028AAD12" w14:textId="418B22DC" w:rsidR="0063142D" w:rsidRPr="000E207A" w:rsidRDefault="0063142D" w:rsidP="0063142D">
      <w:pPr>
        <w:pStyle w:val="Default"/>
      </w:pPr>
      <w:r w:rsidRPr="000E207A">
        <w:t xml:space="preserve">3.2. ML activities generate financial flows that involve the diversion of resources away from economically and socially productive uses, and these diversions can have a negative impact on the financial sector and stability of countries and regions. They also have a corrosive, corrupting effect on society and the economy. </w:t>
      </w:r>
      <w:r w:rsidR="000E207A" w:rsidRPr="000E207A">
        <w:br/>
      </w:r>
    </w:p>
    <w:p w14:paraId="1D1E33EE" w14:textId="77777777" w:rsidR="0063142D" w:rsidRPr="000E207A" w:rsidRDefault="0063142D" w:rsidP="0063142D">
      <w:pPr>
        <w:pStyle w:val="Default"/>
      </w:pPr>
      <w:r w:rsidRPr="000E207A">
        <w:t xml:space="preserve">3.3. Criminals attempt to disguise the original ownership and control of their proceeds of criminal conduct, seeking to break the link between the crime and the proceeds, thus making them appear to have derived from a legitimate source. </w:t>
      </w:r>
    </w:p>
    <w:p w14:paraId="2ABAE145" w14:textId="77777777" w:rsidR="0063142D" w:rsidRPr="000E207A" w:rsidRDefault="0063142D" w:rsidP="0063142D">
      <w:pPr>
        <w:pStyle w:val="Default"/>
      </w:pPr>
    </w:p>
    <w:p w14:paraId="75AFC620" w14:textId="77777777" w:rsidR="00162E1C" w:rsidRDefault="00162E1C" w:rsidP="006F23D8">
      <w:pPr>
        <w:pStyle w:val="Default"/>
        <w:spacing w:after="39"/>
        <w:rPr>
          <w:sz w:val="22"/>
          <w:szCs w:val="22"/>
        </w:rPr>
      </w:pPr>
    </w:p>
    <w:p w14:paraId="00EF4135" w14:textId="7361281C" w:rsidR="00AB3B0F" w:rsidRPr="005111DC" w:rsidRDefault="00162E1C" w:rsidP="00AB3B0F">
      <w:pPr>
        <w:pStyle w:val="Default"/>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4D2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Introduction to Terrorism and Terrorist Financing</w:t>
      </w:r>
      <w:r w:rsidR="00FB79D7" w:rsidRPr="005111D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5A549E5" w14:textId="3FB859C4" w:rsidR="00AB3B0F" w:rsidRPr="00AB3B0F" w:rsidRDefault="00AB3B0F" w:rsidP="00AB3B0F">
      <w:pPr>
        <w:pStyle w:val="Default"/>
        <w:spacing w:after="330"/>
      </w:pPr>
      <w:r w:rsidRPr="00AB3B0F">
        <w:t>4.1. Terrorism involves the calculated use of violence, whether it be an action or threat to create a climate of fear in the population, thereby bring</w:t>
      </w:r>
      <w:r w:rsidR="006B69B4">
        <w:t>ing</w:t>
      </w:r>
      <w:r w:rsidRPr="00AB3B0F">
        <w:t xml:space="preserve"> about/advancing a political, religious, </w:t>
      </w:r>
      <w:proofErr w:type="gramStart"/>
      <w:r w:rsidRPr="00AB3B0F">
        <w:t>racial</w:t>
      </w:r>
      <w:proofErr w:type="gramEnd"/>
      <w:r w:rsidRPr="00AB3B0F">
        <w:t xml:space="preserve"> or ideological objective. Terrorism has been practiced by political organisations with both rightist and leftist objectives, by nationalistic and religious groups, by revolutionaries, and even by state institutions such as armies, intelligence services and police. </w:t>
      </w:r>
    </w:p>
    <w:p w14:paraId="1D314FC3" w14:textId="39C41E1B" w:rsidR="00F314D0" w:rsidRPr="005637F5" w:rsidRDefault="00AB3B0F" w:rsidP="00F314D0">
      <w:pPr>
        <w:pStyle w:val="Default"/>
      </w:pPr>
      <w:r w:rsidRPr="00AB3B0F">
        <w:lastRenderedPageBreak/>
        <w:t xml:space="preserve">4.2. Terrorism includes acts or threats that involve serious violence against a person, serious damage to property, endanger another person’s life, create a serious risk to the health and safety to the public, or are designed to interfere with or disrupt an electronic system. </w:t>
      </w:r>
      <w:r w:rsidR="00127E33">
        <w:br/>
      </w:r>
      <w:r w:rsidR="001611CA" w:rsidRPr="001611CA">
        <w:rPr>
          <w:b/>
          <w:bCs/>
          <w:color w:val="001F5F"/>
          <w:sz w:val="32"/>
          <w:szCs w:val="32"/>
        </w:rPr>
        <w:t>5. Introduction to Bribery, Corruption and Fraud</w:t>
      </w:r>
      <w:r w:rsidR="005111DC">
        <w:rPr>
          <w:b/>
          <w:bCs/>
          <w:color w:val="001F5F"/>
          <w:sz w:val="32"/>
          <w:szCs w:val="32"/>
        </w:rPr>
        <w:br/>
      </w:r>
      <w:r w:rsidR="001611CA" w:rsidRPr="001611CA">
        <w:rPr>
          <w:b/>
          <w:bCs/>
          <w:color w:val="001F5F"/>
          <w:sz w:val="32"/>
          <w:szCs w:val="32"/>
        </w:rPr>
        <w:br/>
      </w:r>
    </w:p>
    <w:p w14:paraId="07CD9DD2" w14:textId="4BE3E9AB" w:rsidR="00F314D0" w:rsidRPr="001611CA" w:rsidRDefault="00F314D0" w:rsidP="00F314D0">
      <w:pPr>
        <w:pStyle w:val="Default"/>
        <w:spacing w:after="330"/>
      </w:pPr>
      <w:r w:rsidRPr="001611CA">
        <w:t>5.1. Bribery and corruption are captured as a predicate offence under Guernsey and Alderney law and is considered by the Bailiwick of Guernsey and Alderney as one of the underlying offences to which the Bailiwick is most susceptible, thus</w:t>
      </w:r>
      <w:r w:rsidR="001611CA">
        <w:t xml:space="preserve"> GIGA has</w:t>
      </w:r>
      <w:r w:rsidRPr="001611CA">
        <w:t xml:space="preserve"> a zero-tolerance approach </w:t>
      </w:r>
      <w:r w:rsidR="00AD68E8">
        <w:t>to such activity</w:t>
      </w:r>
      <w:r w:rsidRPr="001611CA">
        <w:t xml:space="preserve">. </w:t>
      </w:r>
    </w:p>
    <w:p w14:paraId="762C3AAE" w14:textId="77777777" w:rsidR="00F314D0" w:rsidRPr="001611CA" w:rsidRDefault="00F314D0" w:rsidP="00F314D0">
      <w:pPr>
        <w:pStyle w:val="Default"/>
        <w:spacing w:after="330"/>
      </w:pPr>
      <w:r w:rsidRPr="001611CA">
        <w:t xml:space="preserve">5.2. Bribery can be defined as an interaction with a person in a position of trust that provides a benefit </w:t>
      </w:r>
      <w:proofErr w:type="gramStart"/>
      <w:r w:rsidRPr="001611CA">
        <w:t>in order to</w:t>
      </w:r>
      <w:proofErr w:type="gramEnd"/>
      <w:r w:rsidRPr="001611CA">
        <w:t xml:space="preserve"> influence and provide incentive for performing an action which is illegal, unethical or a breach of trust. Bribes may take the form of gifts, loans, fees, </w:t>
      </w:r>
      <w:proofErr w:type="gramStart"/>
      <w:r w:rsidRPr="001611CA">
        <w:t>rewards</w:t>
      </w:r>
      <w:proofErr w:type="gramEnd"/>
      <w:r w:rsidRPr="001611CA">
        <w:t xml:space="preserve"> or other advantages (taxes, services, donations, etc). </w:t>
      </w:r>
    </w:p>
    <w:p w14:paraId="19D42AA9" w14:textId="77777777" w:rsidR="00F314D0" w:rsidRPr="001611CA" w:rsidRDefault="00F314D0" w:rsidP="00F314D0">
      <w:pPr>
        <w:pStyle w:val="Default"/>
        <w:spacing w:after="330"/>
      </w:pPr>
      <w:r w:rsidRPr="001611CA">
        <w:t xml:space="preserve">5.3. Corruption can be defined as the abuse of entrusted power or authority for personal / private gain through financial crime. </w:t>
      </w:r>
    </w:p>
    <w:p w14:paraId="7B755C33" w14:textId="77777777" w:rsidR="00F314D0" w:rsidRPr="001611CA" w:rsidRDefault="00F314D0" w:rsidP="00F314D0">
      <w:pPr>
        <w:pStyle w:val="Default"/>
        <w:spacing w:after="330"/>
      </w:pPr>
      <w:r w:rsidRPr="001611CA">
        <w:t xml:space="preserve">5.4. Fraud is where an individual performs an intentionally deceptive action to provide them with unfair and unlawful gain or to deprive a victim of their rights. </w:t>
      </w:r>
    </w:p>
    <w:p w14:paraId="605F0351" w14:textId="4B233AB5" w:rsidR="00F314D0" w:rsidRDefault="00F314D0" w:rsidP="00F314D0">
      <w:pPr>
        <w:pStyle w:val="Default"/>
      </w:pPr>
      <w:r w:rsidRPr="00B07817">
        <w:rPr>
          <w:color w:val="001F5F"/>
        </w:rPr>
        <w:t>5.5.</w:t>
      </w:r>
      <w:r w:rsidRPr="001611CA">
        <w:rPr>
          <w:b/>
          <w:bCs/>
          <w:color w:val="001F5F"/>
        </w:rPr>
        <w:t xml:space="preserve"> </w:t>
      </w:r>
      <w:r w:rsidRPr="001611CA">
        <w:t xml:space="preserve">Individuals within </w:t>
      </w:r>
      <w:r w:rsidR="00AD68E8">
        <w:t>GIGA</w:t>
      </w:r>
      <w:r w:rsidR="00476D8D">
        <w:t xml:space="preserve"> are required to</w:t>
      </w:r>
      <w:r w:rsidRPr="001611CA">
        <w:t xml:space="preserve"> use their initiative to identify anything that seems unusual, gives a feeling of uncertainty, or appears potentially suspicious when considering bribery, corruption and fraud. </w:t>
      </w:r>
      <w:r w:rsidR="00476D8D">
        <w:br/>
      </w:r>
      <w:r w:rsidR="00476D8D">
        <w:br/>
      </w:r>
    </w:p>
    <w:p w14:paraId="2190127D" w14:textId="77777777" w:rsidR="001F1016" w:rsidRPr="001611CA" w:rsidRDefault="001F1016" w:rsidP="00F314D0">
      <w:pPr>
        <w:pStyle w:val="Default"/>
      </w:pPr>
    </w:p>
    <w:p w14:paraId="2A90BC73" w14:textId="77777777" w:rsidR="001046D6" w:rsidRPr="001046D6" w:rsidRDefault="00B07817" w:rsidP="001046D6">
      <w:pPr>
        <w:pStyle w:val="Default"/>
        <w:rPr>
          <w:sz w:val="32"/>
          <w:szCs w:val="32"/>
        </w:rPr>
      </w:pPr>
      <w:r w:rsidRPr="001046D6">
        <w:rPr>
          <w:b/>
          <w:bCs/>
          <w:color w:val="001F5F"/>
          <w:sz w:val="32"/>
          <w:szCs w:val="32"/>
        </w:rPr>
        <w:t>6. Introduction to Proliferation of Weapons of Mass Destruction</w:t>
      </w:r>
      <w:r w:rsidRPr="001046D6">
        <w:rPr>
          <w:b/>
          <w:bCs/>
          <w:color w:val="001F5F"/>
          <w:sz w:val="32"/>
          <w:szCs w:val="32"/>
        </w:rPr>
        <w:br/>
      </w:r>
      <w:r w:rsidR="001046D6" w:rsidRPr="001046D6">
        <w:rPr>
          <w:b/>
          <w:bCs/>
          <w:color w:val="001F5F"/>
          <w:sz w:val="32"/>
          <w:szCs w:val="32"/>
        </w:rPr>
        <w:br/>
      </w:r>
    </w:p>
    <w:p w14:paraId="5AE15072" w14:textId="77777777" w:rsidR="004222E5" w:rsidRDefault="001046D6" w:rsidP="00E92029">
      <w:pPr>
        <w:pStyle w:val="Default"/>
      </w:pPr>
      <w:r w:rsidRPr="004222E5">
        <w:t xml:space="preserve">6.1. Proliferation financing is defined as funds or financial services used for the manufacture, possession, development, export, transfer, stockpiling or use (etc.) of nuclear, chemical or biological weapons. </w:t>
      </w:r>
      <w:r w:rsidR="004222E5">
        <w:br/>
      </w:r>
    </w:p>
    <w:p w14:paraId="0200137A" w14:textId="6891579B" w:rsidR="00E92029" w:rsidRPr="004222E5" w:rsidRDefault="005111DC" w:rsidP="00E92029">
      <w:pPr>
        <w:pStyle w:val="Default"/>
      </w:pPr>
      <w:r>
        <w:t xml:space="preserve">6.2 </w:t>
      </w:r>
      <w:r w:rsidR="001046D6" w:rsidRPr="004222E5">
        <w:t xml:space="preserve">It also refers to means of delivery and related materials in </w:t>
      </w:r>
    </w:p>
    <w:p w14:paraId="57F7E126" w14:textId="77777777" w:rsidR="00E92029" w:rsidRPr="004222E5" w:rsidRDefault="00E92029" w:rsidP="00E92029">
      <w:pPr>
        <w:pStyle w:val="Default"/>
      </w:pPr>
      <w:r w:rsidRPr="004222E5">
        <w:t xml:space="preserve">contravention of national laws or international obligations. </w:t>
      </w:r>
    </w:p>
    <w:p w14:paraId="5B8540A1" w14:textId="77777777" w:rsidR="00E92029" w:rsidRDefault="00E92029" w:rsidP="00E92029">
      <w:pPr>
        <w:pStyle w:val="Default"/>
        <w:rPr>
          <w:sz w:val="22"/>
          <w:szCs w:val="22"/>
        </w:rPr>
      </w:pPr>
    </w:p>
    <w:p w14:paraId="0D9A4958" w14:textId="220D3875" w:rsidR="001046D6" w:rsidRDefault="001046D6" w:rsidP="001046D6">
      <w:pPr>
        <w:pStyle w:val="Default"/>
        <w:rPr>
          <w:sz w:val="22"/>
          <w:szCs w:val="22"/>
        </w:rPr>
      </w:pPr>
    </w:p>
    <w:p w14:paraId="72FC65F8" w14:textId="2685A14D" w:rsidR="005111DC" w:rsidRDefault="005111DC">
      <w:pPr>
        <w:rPr>
          <w:rFonts w:ascii="Calibri" w:hAnsi="Calibri" w:cs="Calibri"/>
          <w:color w:val="000000"/>
        </w:rPr>
      </w:pPr>
    </w:p>
    <w:p w14:paraId="23ABE8E6" w14:textId="77777777" w:rsidR="001046D6" w:rsidRDefault="001046D6" w:rsidP="001046D6">
      <w:pPr>
        <w:pStyle w:val="Default"/>
        <w:rPr>
          <w:sz w:val="22"/>
          <w:szCs w:val="22"/>
        </w:rPr>
      </w:pPr>
    </w:p>
    <w:p w14:paraId="380F1EC1" w14:textId="57E0D35A" w:rsidR="00F314D0" w:rsidRPr="001611CA" w:rsidRDefault="00F314D0" w:rsidP="00F314D0">
      <w:pPr>
        <w:pStyle w:val="Default"/>
      </w:pPr>
    </w:p>
    <w:p w14:paraId="0ABAA0FF" w14:textId="75F595E4" w:rsidR="005527DA" w:rsidRPr="005527DA" w:rsidRDefault="004D4646" w:rsidP="005527DA">
      <w:pPr>
        <w:pStyle w:val="Default"/>
        <w:rPr>
          <w:b/>
          <w:bCs/>
          <w:sz w:val="32"/>
          <w:szCs w:val="32"/>
        </w:rPr>
      </w:pPr>
      <w:r>
        <w:br w:type="page"/>
      </w:r>
      <w:r w:rsidR="004429E3" w:rsidRPr="005527DA">
        <w:rPr>
          <w:b/>
          <w:bCs/>
          <w:color w:val="001F5F"/>
          <w:sz w:val="32"/>
          <w:szCs w:val="32"/>
        </w:rPr>
        <w:lastRenderedPageBreak/>
        <w:t>7. Dealings with International Partners</w:t>
      </w:r>
      <w:r w:rsidR="00586276" w:rsidRPr="005527DA">
        <w:rPr>
          <w:b/>
          <w:bCs/>
          <w:color w:val="001F5F"/>
          <w:sz w:val="32"/>
          <w:szCs w:val="32"/>
        </w:rPr>
        <w:br/>
      </w:r>
    </w:p>
    <w:p w14:paraId="34BF1C2C" w14:textId="08BB33AC" w:rsidR="005527DA" w:rsidRPr="005527DA" w:rsidRDefault="005527DA" w:rsidP="005527DA">
      <w:pPr>
        <w:pStyle w:val="Default"/>
        <w:spacing w:after="327"/>
      </w:pPr>
      <w:r w:rsidRPr="005527DA">
        <w:t xml:space="preserve">7.1. It is required by the Charities and </w:t>
      </w:r>
      <w:proofErr w:type="spellStart"/>
      <w:r w:rsidRPr="005527DA">
        <w:t>Non Profit</w:t>
      </w:r>
      <w:proofErr w:type="spellEnd"/>
      <w:r w:rsidRPr="005527DA">
        <w:t xml:space="preserve"> Organisations (Registration) (Guernsey) Law (“the Law”) that </w:t>
      </w:r>
      <w:r w:rsidR="002A4C50">
        <w:t>GIGA</w:t>
      </w:r>
      <w:r w:rsidRPr="005527DA">
        <w:t xml:space="preserve"> has in place a contract with its international partner(s) and must carry out identification measures. </w:t>
      </w:r>
    </w:p>
    <w:p w14:paraId="22A88D0B" w14:textId="6AC4362E" w:rsidR="005527DA" w:rsidRPr="005527DA" w:rsidRDefault="005527DA" w:rsidP="005527DA">
      <w:pPr>
        <w:pStyle w:val="Default"/>
        <w:spacing w:after="327"/>
      </w:pPr>
      <w:r w:rsidRPr="005527DA">
        <w:t xml:space="preserve">7.2. </w:t>
      </w:r>
      <w:r w:rsidR="002A4C50">
        <w:t>GIGA</w:t>
      </w:r>
      <w:r w:rsidRPr="005527DA">
        <w:t xml:space="preserve"> </w:t>
      </w:r>
      <w:r w:rsidR="00630E10">
        <w:t>must</w:t>
      </w:r>
      <w:r w:rsidRPr="005527DA">
        <w:t xml:space="preserve"> put in place procedures and controls in respect of its dealings (and decisions relating to) with any international partner (not including a British registered organisation) in order to prevent criminal activities arising. </w:t>
      </w:r>
    </w:p>
    <w:p w14:paraId="4E4EF91B" w14:textId="69844163" w:rsidR="00323334" w:rsidRDefault="005527DA" w:rsidP="00323334">
      <w:pPr>
        <w:pStyle w:val="Default"/>
      </w:pPr>
      <w:r w:rsidRPr="005527DA">
        <w:t xml:space="preserve">7.3. </w:t>
      </w:r>
      <w:r w:rsidR="002A4C50">
        <w:t>GIGA</w:t>
      </w:r>
      <w:r w:rsidRPr="005527DA">
        <w:t xml:space="preserve"> </w:t>
      </w:r>
      <w:r w:rsidR="00E36EE9">
        <w:t>will</w:t>
      </w:r>
      <w:r w:rsidRPr="005527DA">
        <w:t xml:space="preserve"> ensure any payment made to an international partner and any contract </w:t>
      </w:r>
      <w:proofErr w:type="gramStart"/>
      <w:r w:rsidRPr="005527DA">
        <w:t>entered into</w:t>
      </w:r>
      <w:proofErr w:type="gramEnd"/>
      <w:r w:rsidRPr="005527DA">
        <w:t xml:space="preserve"> with an international partner which is £100,000 or more is reported in accordance with the Law (as with all payments of £100,000 or more). </w:t>
      </w:r>
      <w:r w:rsidR="002A4C50">
        <w:br/>
      </w:r>
      <w:r w:rsidR="002A4C50">
        <w:br/>
      </w:r>
      <w:r w:rsidR="002A4C50">
        <w:br/>
      </w:r>
      <w:r w:rsidR="00323334" w:rsidRPr="00C2112B">
        <w:rPr>
          <w:b/>
          <w:bCs/>
          <w:color w:val="001F5F"/>
          <w:sz w:val="32"/>
          <w:szCs w:val="32"/>
        </w:rPr>
        <w:t>8. Identification Measures</w:t>
      </w:r>
      <w:r w:rsidR="00323334">
        <w:rPr>
          <w:b/>
          <w:bCs/>
          <w:color w:val="001F5F"/>
          <w:sz w:val="23"/>
          <w:szCs w:val="23"/>
        </w:rPr>
        <w:br/>
      </w:r>
    </w:p>
    <w:p w14:paraId="46B74F7C" w14:textId="77777777" w:rsidR="00323334" w:rsidRPr="00C2112B" w:rsidRDefault="00323334" w:rsidP="00323334">
      <w:pPr>
        <w:pStyle w:val="Default"/>
        <w:spacing w:after="330"/>
      </w:pPr>
      <w:r w:rsidRPr="00C2112B">
        <w:t xml:space="preserve">8.1. Identification measures are necessary for funds, assets or services received from or paid outside the Bailiwick that are considered significant (£15,000) or unusual. Individuals and companies in Guernsey and Alderney do not need to be identified other than to ascertain that they are “not” from outside the Bailiwick. </w:t>
      </w:r>
    </w:p>
    <w:p w14:paraId="01711740" w14:textId="779C238A" w:rsidR="00323334" w:rsidRPr="00C2112B" w:rsidRDefault="00323334" w:rsidP="00323334">
      <w:pPr>
        <w:pStyle w:val="Default"/>
        <w:spacing w:after="39"/>
      </w:pPr>
      <w:r w:rsidRPr="00C2112B">
        <w:t xml:space="preserve">8.2. </w:t>
      </w:r>
      <w:r w:rsidR="00E36EE9">
        <w:t>GIGA</w:t>
      </w:r>
      <w:r w:rsidRPr="00C2112B">
        <w:t xml:space="preserve"> </w:t>
      </w:r>
      <w:r w:rsidR="00630E10">
        <w:t>will</w:t>
      </w:r>
      <w:r w:rsidRPr="00C2112B">
        <w:t xml:space="preserve"> take reasonable steps to establish and document, prior to accepting a donation or the provision of funds / assets / services and where not reasonably practicable to do so, as soon as possible: </w:t>
      </w:r>
      <w:r w:rsidR="00DB0AA1">
        <w:br/>
      </w:r>
      <w:r w:rsidR="00DB0AA1">
        <w:br/>
      </w:r>
      <w:r w:rsidRPr="00C2112B">
        <w:t xml:space="preserve">- 8.2.1. The identity, credentials, bona fides and good standing of: - 8.2.1.1. any British registered organisation where funds / assets / services or other forms of assistance are provided to or received </w:t>
      </w:r>
      <w:proofErr w:type="gramStart"/>
      <w:r w:rsidRPr="00C2112B">
        <w:t>from;</w:t>
      </w:r>
      <w:proofErr w:type="gramEnd"/>
      <w:r w:rsidRPr="00C2112B">
        <w:t xml:space="preserve"> </w:t>
      </w:r>
    </w:p>
    <w:p w14:paraId="6A95A580" w14:textId="35F75346" w:rsidR="00323334" w:rsidRPr="00C2112B" w:rsidRDefault="00DB0AA1" w:rsidP="00323334">
      <w:pPr>
        <w:pStyle w:val="Default"/>
        <w:spacing w:after="39"/>
      </w:pPr>
      <w:r>
        <w:t xml:space="preserve">- </w:t>
      </w:r>
      <w:r w:rsidR="00323334" w:rsidRPr="00C2112B">
        <w:t xml:space="preserve">8.2.1.2. any international </w:t>
      </w:r>
      <w:proofErr w:type="gramStart"/>
      <w:r w:rsidR="00323334" w:rsidRPr="00C2112B">
        <w:t>partner;</w:t>
      </w:r>
      <w:proofErr w:type="gramEnd"/>
      <w:r w:rsidR="00323334" w:rsidRPr="00C2112B">
        <w:t xml:space="preserve"> </w:t>
      </w:r>
    </w:p>
    <w:p w14:paraId="09FB02A3" w14:textId="4CB6BCF7" w:rsidR="00323334" w:rsidRPr="00C2112B" w:rsidRDefault="00DB0AA1" w:rsidP="00323334">
      <w:pPr>
        <w:pStyle w:val="Default"/>
        <w:spacing w:after="39"/>
      </w:pPr>
      <w:r>
        <w:t xml:space="preserve">- </w:t>
      </w:r>
      <w:r w:rsidR="00323334" w:rsidRPr="00C2112B">
        <w:t xml:space="preserve">8.2.1.3. The identity of any person (aside from those identified in 8.2.1.1 and 8.2.1.2) who </w:t>
      </w:r>
      <w:r w:rsidR="00323334" w:rsidRPr="00C2112B">
        <w:rPr>
          <w:b/>
          <w:bCs/>
        </w:rPr>
        <w:t xml:space="preserve">donates </w:t>
      </w:r>
      <w:r w:rsidR="00323334" w:rsidRPr="00C2112B">
        <w:t xml:space="preserve">a significant amount from outside the Bailiwick or where a donation is considered </w:t>
      </w:r>
      <w:proofErr w:type="gramStart"/>
      <w:r w:rsidR="00323334" w:rsidRPr="00C2112B">
        <w:t>unusual;</w:t>
      </w:r>
      <w:proofErr w:type="gramEnd"/>
      <w:r w:rsidR="00323334" w:rsidRPr="00C2112B">
        <w:t xml:space="preserve"> </w:t>
      </w:r>
    </w:p>
    <w:p w14:paraId="7DA0CBB4" w14:textId="4A3424A5" w:rsidR="00323334" w:rsidRPr="00C2112B" w:rsidRDefault="00DB0AA1" w:rsidP="00323334">
      <w:pPr>
        <w:pStyle w:val="Default"/>
      </w:pPr>
      <w:r>
        <w:t xml:space="preserve">- </w:t>
      </w:r>
      <w:r w:rsidR="00323334" w:rsidRPr="00C2112B">
        <w:t xml:space="preserve">8.2.1.4. The identity, credentials, bona fides and good standing of any person (aside from 8.2.1.1 and 8.2.1.2) where </w:t>
      </w:r>
      <w:r w:rsidR="00323334" w:rsidRPr="00C2112B">
        <w:rPr>
          <w:b/>
          <w:bCs/>
        </w:rPr>
        <w:t xml:space="preserve">funds / assets / services or forms of assistance received </w:t>
      </w:r>
      <w:r w:rsidR="00323334" w:rsidRPr="00C2112B">
        <w:t xml:space="preserve">from outside the Bailiwick are significant or considered unusual. </w:t>
      </w:r>
    </w:p>
    <w:p w14:paraId="1CB3A3D7" w14:textId="77777777" w:rsidR="00323334" w:rsidRDefault="00323334" w:rsidP="00323334">
      <w:pPr>
        <w:pStyle w:val="Default"/>
        <w:rPr>
          <w:sz w:val="22"/>
          <w:szCs w:val="22"/>
        </w:rPr>
      </w:pPr>
    </w:p>
    <w:p w14:paraId="2A9F8DBD" w14:textId="77777777" w:rsidR="003470C5" w:rsidRDefault="003470C5" w:rsidP="003470C5">
      <w:pPr>
        <w:pStyle w:val="Default"/>
      </w:pPr>
    </w:p>
    <w:p w14:paraId="460D4953" w14:textId="2968C048" w:rsidR="003470C5" w:rsidRPr="003470C5" w:rsidRDefault="003470C5" w:rsidP="003470C5">
      <w:pPr>
        <w:pStyle w:val="Default"/>
        <w:spacing w:after="327"/>
      </w:pPr>
      <w:r w:rsidRPr="003470C5">
        <w:t xml:space="preserve">8.3. Activity considered to be “unusual” is </w:t>
      </w:r>
      <w:r w:rsidR="00D8731D">
        <w:t xml:space="preserve">relates to anything which is </w:t>
      </w:r>
      <w:r w:rsidR="005173C6">
        <w:t>deemed not in the normal course of activity for GI</w:t>
      </w:r>
      <w:r w:rsidR="008E7D0D">
        <w:t>G</w:t>
      </w:r>
      <w:r w:rsidR="005173C6">
        <w:t xml:space="preserve">A as a charity focused on the support of Guernsey </w:t>
      </w:r>
      <w:r w:rsidR="0012372F">
        <w:t>Sports Members</w:t>
      </w:r>
      <w:r w:rsidR="005E5190">
        <w:t xml:space="preserve"> to travel to and perform at Island Games locations.</w:t>
      </w:r>
      <w:r w:rsidRPr="003470C5">
        <w:t xml:space="preserve"> A transaction may be “unusual” because of the </w:t>
      </w:r>
      <w:r w:rsidR="008E7D0D" w:rsidRPr="003470C5">
        <w:t>manner</w:t>
      </w:r>
      <w:r w:rsidRPr="003470C5">
        <w:t xml:space="preserve"> in which it is received as well as the value, terms or origin. </w:t>
      </w:r>
      <w:r w:rsidRPr="003470C5">
        <w:lastRenderedPageBreak/>
        <w:t xml:space="preserve">Consideration </w:t>
      </w:r>
      <w:r w:rsidR="00D641FA">
        <w:t>is</w:t>
      </w:r>
      <w:r w:rsidRPr="003470C5">
        <w:t xml:space="preserve"> given to the origin, nature and possible intention when determining if it falls within this definition. </w:t>
      </w:r>
    </w:p>
    <w:p w14:paraId="06C2E1CD" w14:textId="48459C0D" w:rsidR="003470C5" w:rsidRPr="003470C5" w:rsidRDefault="003470C5" w:rsidP="003470C5">
      <w:pPr>
        <w:pStyle w:val="Default"/>
        <w:spacing w:after="327"/>
      </w:pPr>
      <w:r w:rsidRPr="003470C5">
        <w:t xml:space="preserve">8.4. Where identification measures are not possible, or if risks or concerns have been identified through the completion of these measures, the </w:t>
      </w:r>
      <w:r w:rsidR="000B0CA4">
        <w:t>GIGA Board will</w:t>
      </w:r>
      <w:r w:rsidRPr="003470C5">
        <w:t xml:space="preserve"> consider the refusal to accept a donation or decide to not provide the funds/assets/services. </w:t>
      </w:r>
    </w:p>
    <w:p w14:paraId="2E4BEA27" w14:textId="2D5D7154" w:rsidR="00D463F4" w:rsidRPr="00561456" w:rsidRDefault="003470C5" w:rsidP="00561456">
      <w:pPr>
        <w:pStyle w:val="Default"/>
      </w:pPr>
      <w:r w:rsidRPr="003470C5">
        <w:t xml:space="preserve">8.5. A register </w:t>
      </w:r>
      <w:r w:rsidR="000B0CA4">
        <w:t>will</w:t>
      </w:r>
      <w:r w:rsidRPr="003470C5">
        <w:t xml:space="preserve"> be maintained</w:t>
      </w:r>
      <w:r w:rsidR="000B0CA4">
        <w:t xml:space="preserve"> by the GIGA Treasurer</w:t>
      </w:r>
      <w:r w:rsidRPr="003470C5">
        <w:t xml:space="preserve"> of </w:t>
      </w:r>
      <w:r w:rsidR="006265CD">
        <w:t>any activity deemed “unusual” by the GIGA Board</w:t>
      </w:r>
      <w:r w:rsidRPr="003470C5">
        <w:t xml:space="preserve"> in line with the record keeping requirements listed within section 9.1.2 of this Policy.</w:t>
      </w:r>
      <w:r w:rsidR="006F766A">
        <w:br/>
      </w:r>
    </w:p>
    <w:p w14:paraId="438E0D32" w14:textId="77777777" w:rsidR="00561456" w:rsidRDefault="00561456" w:rsidP="00561456">
      <w:pPr>
        <w:pStyle w:val="Default"/>
        <w:rPr>
          <w:sz w:val="23"/>
          <w:szCs w:val="23"/>
        </w:rPr>
      </w:pPr>
    </w:p>
    <w:p w14:paraId="7F9E9141" w14:textId="74D16A2C" w:rsidR="002D3E5D" w:rsidRPr="002D3E5D" w:rsidRDefault="00561456" w:rsidP="002D3E5D">
      <w:pPr>
        <w:pStyle w:val="Default"/>
        <w:rPr>
          <w:sz w:val="32"/>
          <w:szCs w:val="32"/>
        </w:rPr>
      </w:pPr>
      <w:r w:rsidRPr="002D3E5D">
        <w:rPr>
          <w:b/>
          <w:bCs/>
          <w:color w:val="001F5F"/>
          <w:sz w:val="32"/>
          <w:szCs w:val="32"/>
        </w:rPr>
        <w:t>9. Reviews, Oversight and Monitoring</w:t>
      </w:r>
      <w:r w:rsidR="003470C5" w:rsidRPr="002D3E5D">
        <w:rPr>
          <w:sz w:val="32"/>
          <w:szCs w:val="32"/>
        </w:rPr>
        <w:t xml:space="preserve"> </w:t>
      </w:r>
      <w:r w:rsidR="002D3E5D" w:rsidRPr="002D3E5D">
        <w:rPr>
          <w:sz w:val="32"/>
          <w:szCs w:val="32"/>
        </w:rPr>
        <w:br/>
      </w:r>
    </w:p>
    <w:p w14:paraId="01376FB1" w14:textId="5E8F2345" w:rsidR="002D3E5D" w:rsidRPr="00C70A69" w:rsidRDefault="002D3E5D" w:rsidP="002D3E5D">
      <w:pPr>
        <w:pStyle w:val="Default"/>
        <w:spacing w:after="342"/>
      </w:pPr>
      <w:r w:rsidRPr="00C70A69">
        <w:t xml:space="preserve">9.1. </w:t>
      </w:r>
      <w:r w:rsidR="0020495E">
        <w:t>GIGA</w:t>
      </w:r>
      <w:r w:rsidRPr="00C70A69">
        <w:t xml:space="preserve">’s compliance with the Ordinance, the Regulations and this Policy </w:t>
      </w:r>
      <w:r w:rsidR="004D71DA">
        <w:t>will</w:t>
      </w:r>
      <w:r w:rsidRPr="00C70A69">
        <w:t xml:space="preserve"> be reviewed annually</w:t>
      </w:r>
      <w:r w:rsidR="004D71DA">
        <w:t xml:space="preserve"> by the Board</w:t>
      </w:r>
      <w:r w:rsidR="00F45B32">
        <w:t xml:space="preserve"> at a Board meeting</w:t>
      </w:r>
      <w:r w:rsidR="004D71DA">
        <w:t xml:space="preserve"> </w:t>
      </w:r>
      <w:r w:rsidR="00F45B32">
        <w:t>in the fourth quarter</w:t>
      </w:r>
      <w:r w:rsidR="00565AD1">
        <w:t xml:space="preserve"> of the calendar year</w:t>
      </w:r>
      <w:r w:rsidRPr="00C70A69">
        <w:t xml:space="preserve">. </w:t>
      </w:r>
    </w:p>
    <w:p w14:paraId="46C47D31" w14:textId="1A81B546" w:rsidR="002D3E5D" w:rsidRPr="00C70A69" w:rsidRDefault="002D3E5D" w:rsidP="002D3E5D">
      <w:pPr>
        <w:pStyle w:val="Default"/>
        <w:spacing w:after="342"/>
      </w:pPr>
      <w:r w:rsidRPr="00C70A69">
        <w:t xml:space="preserve">9.2. Where there are failures to comply with legal obligations and this Policy, mitigating measures </w:t>
      </w:r>
      <w:r w:rsidR="00565AD1">
        <w:t>will</w:t>
      </w:r>
      <w:r w:rsidRPr="00C70A69">
        <w:t xml:space="preserve"> be put in place</w:t>
      </w:r>
      <w:r w:rsidR="00565AD1">
        <w:t xml:space="preserve"> by the Board</w:t>
      </w:r>
      <w:r w:rsidRPr="00C70A69">
        <w:t xml:space="preserve"> and</w:t>
      </w:r>
      <w:r w:rsidR="00603964">
        <w:t xml:space="preserve"> suitable</w:t>
      </w:r>
      <w:r w:rsidRPr="00C70A69">
        <w:t xml:space="preserve"> updates to the Policy </w:t>
      </w:r>
      <w:r w:rsidR="00603964">
        <w:t xml:space="preserve">will </w:t>
      </w:r>
      <w:r w:rsidRPr="00C70A69">
        <w:t xml:space="preserve">be made </w:t>
      </w:r>
      <w:r w:rsidR="00603964">
        <w:t xml:space="preserve">by the Board </w:t>
      </w:r>
      <w:r w:rsidRPr="00C70A69">
        <w:t xml:space="preserve">where necessary. </w:t>
      </w:r>
    </w:p>
    <w:p w14:paraId="7B039ADD" w14:textId="325A2E9A" w:rsidR="002D3E5D" w:rsidRPr="00C70A69" w:rsidRDefault="002D3E5D" w:rsidP="002D3E5D">
      <w:pPr>
        <w:pStyle w:val="Default"/>
      </w:pPr>
      <w:r w:rsidRPr="00C70A69">
        <w:t xml:space="preserve">9.3. </w:t>
      </w:r>
      <w:r w:rsidR="00684B3C">
        <w:t>The GIGA Board will also</w:t>
      </w:r>
      <w:r w:rsidRPr="00C70A69">
        <w:t xml:space="preserve"> consider the need for some officials to receive training as relevant. </w:t>
      </w:r>
    </w:p>
    <w:p w14:paraId="54590253" w14:textId="77777777" w:rsidR="002D3E5D" w:rsidRPr="00C70A69" w:rsidRDefault="002D3E5D" w:rsidP="002D3E5D">
      <w:pPr>
        <w:pStyle w:val="Default"/>
      </w:pPr>
    </w:p>
    <w:p w14:paraId="7D5D377B" w14:textId="75BB15AC" w:rsidR="003470C5" w:rsidRPr="003470C5" w:rsidRDefault="003470C5" w:rsidP="00561456">
      <w:pPr>
        <w:pStyle w:val="Default"/>
      </w:pPr>
    </w:p>
    <w:p w14:paraId="1324DF60" w14:textId="1C474601" w:rsidR="00F640AB" w:rsidRPr="00A97D63" w:rsidRDefault="00F640AB" w:rsidP="00344882">
      <w:pPr>
        <w:pStyle w:val="Default"/>
      </w:pPr>
      <w:r w:rsidRPr="00344882">
        <w:rPr>
          <w:b/>
          <w:bCs/>
          <w:color w:val="001F5F"/>
          <w:sz w:val="32"/>
          <w:szCs w:val="32"/>
        </w:rPr>
        <w:t>10. Record Keeping</w:t>
      </w:r>
      <w:r w:rsidRPr="00344882">
        <w:rPr>
          <w:b/>
          <w:bCs/>
          <w:color w:val="001F5F"/>
          <w:sz w:val="32"/>
          <w:szCs w:val="32"/>
        </w:rPr>
        <w:br/>
      </w:r>
      <w:r w:rsidRPr="00344882">
        <w:rPr>
          <w:b/>
          <w:bCs/>
          <w:color w:val="001F5F"/>
          <w:sz w:val="32"/>
          <w:szCs w:val="32"/>
        </w:rPr>
        <w:br/>
      </w:r>
      <w:r w:rsidRPr="00A97D63">
        <w:t xml:space="preserve">10.1. The Law requires that </w:t>
      </w:r>
      <w:r w:rsidR="00A97D63">
        <w:t>GIGA</w:t>
      </w:r>
      <w:r w:rsidRPr="00A97D63">
        <w:t xml:space="preserve"> must make, </w:t>
      </w:r>
      <w:proofErr w:type="gramStart"/>
      <w:r w:rsidRPr="00A97D63">
        <w:t>keep</w:t>
      </w:r>
      <w:proofErr w:type="gramEnd"/>
      <w:r w:rsidRPr="00A97D63">
        <w:t xml:space="preserve"> and retain records of all financial transactions in order to evidence the application or use of </w:t>
      </w:r>
      <w:r w:rsidR="001B53C5">
        <w:t>GIGA</w:t>
      </w:r>
      <w:r w:rsidRPr="00A97D63">
        <w:t>’s assets, funds and income. Such records and any subsequent reviews should be dated.</w:t>
      </w:r>
      <w:r w:rsidR="0020495E" w:rsidRPr="00A97D63">
        <w:br/>
      </w:r>
      <w:r w:rsidRPr="00A97D63">
        <w:t xml:space="preserve"> </w:t>
      </w:r>
    </w:p>
    <w:p w14:paraId="23522263" w14:textId="77777777" w:rsidR="00E06ACF" w:rsidRDefault="00F640AB" w:rsidP="00E06ACF">
      <w:pPr>
        <w:pStyle w:val="Default"/>
        <w:spacing w:after="37"/>
      </w:pPr>
      <w:r w:rsidRPr="00A97D63">
        <w:t xml:space="preserve">10.2. </w:t>
      </w:r>
      <w:r w:rsidR="00685ADA">
        <w:t>This Policy requires</w:t>
      </w:r>
      <w:r w:rsidR="00EF6858">
        <w:t xml:space="preserve"> the GIGA Board </w:t>
      </w:r>
      <w:r w:rsidR="00CE1926">
        <w:t>to maintain r</w:t>
      </w:r>
      <w:r w:rsidRPr="00A97D63">
        <w:t>ecords</w:t>
      </w:r>
      <w:r w:rsidR="00CE1926">
        <w:t>,</w:t>
      </w:r>
      <w:r w:rsidRPr="00A97D63">
        <w:t xml:space="preserve"> </w:t>
      </w:r>
      <w:proofErr w:type="gramStart"/>
      <w:r w:rsidRPr="00A97D63">
        <w:t>for a minimum period of 6 years,</w:t>
      </w:r>
      <w:proofErr w:type="gramEnd"/>
      <w:r w:rsidRPr="00A97D63">
        <w:t xml:space="preserve"> of the following:</w:t>
      </w:r>
      <w:r w:rsidR="00CE1926">
        <w:br/>
      </w:r>
      <w:r w:rsidR="00CE1926">
        <w:br/>
      </w:r>
      <w:r w:rsidRPr="00A97D63">
        <w:t xml:space="preserve"> - 10.2.1. Findings of the reviews referred to in Section 8 of this Policy and any actions taken as a </w:t>
      </w:r>
      <w:proofErr w:type="gramStart"/>
      <w:r w:rsidRPr="00A97D63">
        <w:t>result;</w:t>
      </w:r>
      <w:proofErr w:type="gramEnd"/>
      <w:r w:rsidRPr="00A97D63">
        <w:t xml:space="preserve"> </w:t>
      </w:r>
    </w:p>
    <w:p w14:paraId="49611CD3" w14:textId="60C7567B" w:rsidR="00E06ACF" w:rsidRDefault="007A4315" w:rsidP="00E06ACF">
      <w:pPr>
        <w:pStyle w:val="Default"/>
        <w:spacing w:after="37"/>
      </w:pPr>
      <w:r>
        <w:t xml:space="preserve">- </w:t>
      </w:r>
      <w:r w:rsidR="00F640AB" w:rsidRPr="00A97D63">
        <w:t xml:space="preserve">10.2.2. A register including the records of findings from the ‘Identification Measures’ taken in Section 7 of this Policy which includes the: </w:t>
      </w:r>
    </w:p>
    <w:p w14:paraId="1ED354F1" w14:textId="20FDF307" w:rsidR="00F640AB" w:rsidRPr="00A97D63" w:rsidRDefault="00E06ACF" w:rsidP="00C24BD0">
      <w:pPr>
        <w:pStyle w:val="Default"/>
        <w:spacing w:after="37"/>
        <w:ind w:left="720"/>
      </w:pPr>
      <w:r>
        <w:br/>
      </w:r>
      <w:r w:rsidR="00F640AB" w:rsidRPr="00A97D63">
        <w:t xml:space="preserve">10.2.2.1. Names and location of whom identification measures were taken </w:t>
      </w:r>
      <w:proofErr w:type="gramStart"/>
      <w:r w:rsidR="00F640AB" w:rsidRPr="00A97D63">
        <w:t>for;</w:t>
      </w:r>
      <w:proofErr w:type="gramEnd"/>
      <w:r w:rsidR="00F640AB" w:rsidRPr="00A97D63">
        <w:t xml:space="preserve"> </w:t>
      </w:r>
    </w:p>
    <w:p w14:paraId="3949C506" w14:textId="77777777" w:rsidR="00344882" w:rsidRPr="00A97D63" w:rsidRDefault="00344882" w:rsidP="00C24BD0">
      <w:pPr>
        <w:pStyle w:val="Default"/>
        <w:spacing w:after="39"/>
        <w:ind w:left="720"/>
      </w:pPr>
      <w:r w:rsidRPr="00A97D63">
        <w:lastRenderedPageBreak/>
        <w:t xml:space="preserve">10.2.2.2. Amount of any donation received from, or funds / assets or form of assistance provided to, that </w:t>
      </w:r>
      <w:proofErr w:type="gramStart"/>
      <w:r w:rsidRPr="00A97D63">
        <w:t>person;</w:t>
      </w:r>
      <w:proofErr w:type="gramEnd"/>
      <w:r w:rsidRPr="00A97D63">
        <w:t xml:space="preserve"> </w:t>
      </w:r>
    </w:p>
    <w:p w14:paraId="5E184DB8" w14:textId="77777777" w:rsidR="00344882" w:rsidRPr="00A97D63" w:rsidRDefault="00344882" w:rsidP="00C24BD0">
      <w:pPr>
        <w:pStyle w:val="Default"/>
        <w:spacing w:after="39"/>
        <w:ind w:left="720"/>
      </w:pPr>
      <w:r w:rsidRPr="00A97D63">
        <w:t xml:space="preserve">10.2.2.3. Summary (where applicable) of the information verifying the credentials, bona fides and good standing of that </w:t>
      </w:r>
      <w:proofErr w:type="gramStart"/>
      <w:r w:rsidRPr="00A97D63">
        <w:t>person;</w:t>
      </w:r>
      <w:proofErr w:type="gramEnd"/>
      <w:r w:rsidRPr="00A97D63">
        <w:t xml:space="preserve"> </w:t>
      </w:r>
    </w:p>
    <w:p w14:paraId="656A842D" w14:textId="77777777" w:rsidR="00344882" w:rsidRPr="00A97D63" w:rsidRDefault="00344882" w:rsidP="00C24BD0">
      <w:pPr>
        <w:pStyle w:val="Default"/>
        <w:ind w:left="720"/>
      </w:pPr>
      <w:r w:rsidRPr="00A97D63">
        <w:t xml:space="preserve">10.2.2.4. Measures taken to mitigate the risks associated with receiving a donation from, or providing assets or form of assistance to, that person; and </w:t>
      </w:r>
    </w:p>
    <w:p w14:paraId="425DA79C" w14:textId="77777777" w:rsidR="00344882" w:rsidRPr="00A97D63" w:rsidRDefault="00344882" w:rsidP="00344882">
      <w:pPr>
        <w:pStyle w:val="Default"/>
      </w:pPr>
    </w:p>
    <w:p w14:paraId="1DF3EFC7" w14:textId="595BB6F9" w:rsidR="00344882" w:rsidRPr="00A97D63" w:rsidRDefault="00344882" w:rsidP="00344882">
      <w:pPr>
        <w:pStyle w:val="Default"/>
      </w:pPr>
      <w:r w:rsidRPr="00A97D63">
        <w:t xml:space="preserve">10.2.3. Annual financial </w:t>
      </w:r>
      <w:r w:rsidR="00F052DD" w:rsidRPr="00A97D63">
        <w:t>statements</w:t>
      </w:r>
      <w:proofErr w:type="gramStart"/>
      <w:r w:rsidR="00F052DD" w:rsidRPr="00A97D63">
        <w:t>.</w:t>
      </w:r>
      <w:r w:rsidR="00F052DD">
        <w:t>;</w:t>
      </w:r>
      <w:proofErr w:type="gramEnd"/>
      <w:r w:rsidRPr="00A97D63">
        <w:t xml:space="preserve"> </w:t>
      </w:r>
    </w:p>
    <w:p w14:paraId="3242728C" w14:textId="77777777" w:rsidR="00344882" w:rsidRPr="00A97D63" w:rsidRDefault="00344882" w:rsidP="00344882">
      <w:pPr>
        <w:pStyle w:val="Default"/>
      </w:pPr>
      <w:r w:rsidRPr="00A97D63">
        <w:t xml:space="preserve">10.2.4. Donors </w:t>
      </w:r>
      <w:proofErr w:type="gramStart"/>
      <w:r w:rsidRPr="00A97D63">
        <w:t>register;</w:t>
      </w:r>
      <w:proofErr w:type="gramEnd"/>
      <w:r w:rsidRPr="00A97D63">
        <w:t xml:space="preserve"> </w:t>
      </w:r>
    </w:p>
    <w:p w14:paraId="3A3122C0" w14:textId="77777777" w:rsidR="00344882" w:rsidRPr="00A97D63" w:rsidRDefault="00344882" w:rsidP="00344882">
      <w:pPr>
        <w:pStyle w:val="Default"/>
      </w:pPr>
      <w:r w:rsidRPr="00A97D63">
        <w:t xml:space="preserve">10.2.5. Minutes; and </w:t>
      </w:r>
    </w:p>
    <w:p w14:paraId="0A0EFAF1" w14:textId="77777777" w:rsidR="00344882" w:rsidRPr="00A97D63" w:rsidRDefault="00344882" w:rsidP="00344882">
      <w:pPr>
        <w:pStyle w:val="Default"/>
      </w:pPr>
      <w:r w:rsidRPr="00A97D63">
        <w:t xml:space="preserve">10.2.6. Any other statutory documents. </w:t>
      </w:r>
    </w:p>
    <w:p w14:paraId="7BBDA532" w14:textId="77777777" w:rsidR="00344882" w:rsidRPr="00A97D63" w:rsidRDefault="00344882" w:rsidP="00344882">
      <w:pPr>
        <w:pStyle w:val="Default"/>
      </w:pPr>
    </w:p>
    <w:p w14:paraId="439446EB" w14:textId="6E9A346B" w:rsidR="002A4D2B" w:rsidRPr="0036045E" w:rsidRDefault="00344882" w:rsidP="002A4D2B">
      <w:pPr>
        <w:pStyle w:val="NoSpacing"/>
        <w:rPr>
          <w:sz w:val="24"/>
          <w:szCs w:val="24"/>
        </w:rPr>
      </w:pPr>
      <w:r w:rsidRPr="00A97D63">
        <w:rPr>
          <w:sz w:val="24"/>
          <w:szCs w:val="24"/>
        </w:rPr>
        <w:t xml:space="preserve">10.3. All records must be kept securely and in readily retrievable form. </w:t>
      </w:r>
      <w:r w:rsidR="002A4D2B">
        <w:br/>
      </w:r>
      <w:r w:rsidR="002A4D2B">
        <w:br/>
      </w:r>
      <w:r w:rsidR="002A4D2B">
        <w:rPr>
          <w:sz w:val="24"/>
          <w:szCs w:val="24"/>
        </w:rPr>
        <w:t>10</w:t>
      </w:r>
      <w:r w:rsidR="002A4D2B" w:rsidRPr="0036045E">
        <w:rPr>
          <w:sz w:val="24"/>
          <w:szCs w:val="24"/>
        </w:rPr>
        <w:t>.</w:t>
      </w:r>
      <w:r w:rsidR="002A4D2B">
        <w:rPr>
          <w:sz w:val="24"/>
          <w:szCs w:val="24"/>
        </w:rPr>
        <w:t>4</w:t>
      </w:r>
      <w:r w:rsidR="002A4D2B" w:rsidRPr="0036045E">
        <w:rPr>
          <w:sz w:val="24"/>
          <w:szCs w:val="24"/>
        </w:rPr>
        <w:t>. The Board is responsible for the implementation of changes to this Policy which must be completed within three months of the date of its publication.</w:t>
      </w:r>
    </w:p>
    <w:p w14:paraId="44F20E78" w14:textId="2A7186B4" w:rsidR="0064377A" w:rsidRDefault="00D410D7" w:rsidP="0064377A">
      <w:pPr>
        <w:pStyle w:val="Default"/>
      </w:pPr>
      <w:r>
        <w:br/>
      </w:r>
      <w:r>
        <w:br/>
      </w:r>
      <w:r>
        <w:br/>
      </w:r>
      <w:r w:rsidR="0064377A" w:rsidRPr="0064377A">
        <w:rPr>
          <w:b/>
          <w:bCs/>
          <w:color w:val="001F5F"/>
          <w:sz w:val="32"/>
          <w:szCs w:val="32"/>
        </w:rPr>
        <w:t>11. What to Do If You Are Suspicious</w:t>
      </w:r>
      <w:r w:rsidR="0064377A">
        <w:rPr>
          <w:b/>
          <w:bCs/>
          <w:color w:val="001F5F"/>
          <w:sz w:val="23"/>
          <w:szCs w:val="23"/>
        </w:rPr>
        <w:br/>
      </w:r>
      <w:r w:rsidR="0064377A">
        <w:rPr>
          <w:b/>
          <w:bCs/>
          <w:color w:val="001F5F"/>
          <w:sz w:val="23"/>
          <w:szCs w:val="23"/>
        </w:rPr>
        <w:br/>
      </w:r>
    </w:p>
    <w:p w14:paraId="1521E597" w14:textId="77777777" w:rsidR="0064377A" w:rsidRPr="0064377A" w:rsidRDefault="0064377A" w:rsidP="0064377A">
      <w:pPr>
        <w:pStyle w:val="Default"/>
        <w:spacing w:after="327"/>
      </w:pPr>
      <w:r w:rsidRPr="0064377A">
        <w:t xml:space="preserve">11.1. Where, </w:t>
      </w:r>
      <w:proofErr w:type="gramStart"/>
      <w:r w:rsidRPr="0064377A">
        <w:t>as a result of</w:t>
      </w:r>
      <w:proofErr w:type="gramEnd"/>
      <w:r w:rsidRPr="0064377A">
        <w:t xml:space="preserve"> any of the measures taken above, you feel suspicious of the intentions of an individual or the origins of any funds or assets, consideration should be made for reporting these concerns to the Financial Intelligence Unit in Guernsey. </w:t>
      </w:r>
    </w:p>
    <w:p w14:paraId="50719D15" w14:textId="77777777" w:rsidR="0064377A" w:rsidRPr="0064377A" w:rsidRDefault="0064377A" w:rsidP="0064377A">
      <w:pPr>
        <w:pStyle w:val="Default"/>
        <w:spacing w:after="327"/>
        <w:rPr>
          <w:color w:val="0462C1"/>
        </w:rPr>
      </w:pPr>
      <w:r w:rsidRPr="0064377A">
        <w:t xml:space="preserve">11.2. The Financial Intelligence Unit can be contacted through the following link: </w:t>
      </w:r>
      <w:r w:rsidRPr="0064377A">
        <w:rPr>
          <w:color w:val="0462C1"/>
        </w:rPr>
        <w:t xml:space="preserve">https://guernseyfiu.gov.gg/article/175901/Contact </w:t>
      </w:r>
    </w:p>
    <w:p w14:paraId="31A4168E" w14:textId="77777777" w:rsidR="0064377A" w:rsidRPr="0064377A" w:rsidRDefault="0064377A" w:rsidP="0064377A">
      <w:pPr>
        <w:pStyle w:val="Default"/>
      </w:pPr>
      <w:r w:rsidRPr="0064377A">
        <w:t xml:space="preserve">11.3. You must not mention or lead the third party to believe you have a suspicion or that you may or have reported this to the authorities. </w:t>
      </w:r>
    </w:p>
    <w:p w14:paraId="7F021CF3" w14:textId="77777777" w:rsidR="0064377A" w:rsidRPr="0064377A" w:rsidRDefault="0064377A" w:rsidP="0064377A">
      <w:pPr>
        <w:pStyle w:val="Default"/>
      </w:pPr>
    </w:p>
    <w:p w14:paraId="35777177" w14:textId="0F1D8E8A" w:rsidR="00344882" w:rsidRPr="00A97D63" w:rsidRDefault="00344882" w:rsidP="00344882">
      <w:pPr>
        <w:pStyle w:val="Default"/>
      </w:pPr>
    </w:p>
    <w:p w14:paraId="4248B746" w14:textId="77777777" w:rsidR="00344882" w:rsidRDefault="00344882" w:rsidP="00344882">
      <w:pPr>
        <w:pStyle w:val="Default"/>
        <w:rPr>
          <w:sz w:val="22"/>
          <w:szCs w:val="22"/>
        </w:rPr>
      </w:pPr>
    </w:p>
    <w:p w14:paraId="7C266ADB" w14:textId="1B3758BD" w:rsidR="003470C5" w:rsidRDefault="003470C5" w:rsidP="003470C5">
      <w:pPr>
        <w:pStyle w:val="Default"/>
        <w:rPr>
          <w:sz w:val="22"/>
          <w:szCs w:val="22"/>
        </w:rPr>
      </w:pPr>
    </w:p>
    <w:p w14:paraId="7AD90AF4" w14:textId="77777777" w:rsidR="007D34F9" w:rsidRDefault="007D34F9" w:rsidP="007D34F9">
      <w:pPr>
        <w:pStyle w:val="Default"/>
        <w:rPr>
          <w:sz w:val="22"/>
          <w:szCs w:val="22"/>
        </w:rPr>
      </w:pPr>
    </w:p>
    <w:p w14:paraId="73863E3B" w14:textId="77777777" w:rsidR="007D34F9" w:rsidRDefault="007D34F9" w:rsidP="007D34F9">
      <w:pPr>
        <w:pStyle w:val="Default"/>
        <w:rPr>
          <w:sz w:val="22"/>
          <w:szCs w:val="22"/>
        </w:rPr>
      </w:pPr>
    </w:p>
    <w:p w14:paraId="32A134DD" w14:textId="77777777" w:rsidR="00323334" w:rsidRDefault="00323334" w:rsidP="00323334">
      <w:pPr>
        <w:pStyle w:val="Default"/>
        <w:rPr>
          <w:sz w:val="22"/>
          <w:szCs w:val="22"/>
        </w:rPr>
      </w:pPr>
    </w:p>
    <w:p w14:paraId="6D75E03E" w14:textId="77777777" w:rsidR="00323334" w:rsidRDefault="00323334" w:rsidP="00323334">
      <w:pPr>
        <w:pStyle w:val="Default"/>
        <w:rPr>
          <w:sz w:val="22"/>
          <w:szCs w:val="22"/>
        </w:rPr>
      </w:pPr>
    </w:p>
    <w:p w14:paraId="3737964B" w14:textId="5E28A22F" w:rsidR="005527DA" w:rsidRPr="005527DA" w:rsidRDefault="005527DA" w:rsidP="005527DA">
      <w:pPr>
        <w:pStyle w:val="Default"/>
      </w:pPr>
    </w:p>
    <w:p w14:paraId="6A8D9708" w14:textId="77777777" w:rsidR="005527DA" w:rsidRDefault="005527DA" w:rsidP="005527DA">
      <w:pPr>
        <w:pStyle w:val="Default"/>
        <w:rPr>
          <w:sz w:val="22"/>
          <w:szCs w:val="22"/>
        </w:rPr>
      </w:pPr>
    </w:p>
    <w:p w14:paraId="5B9C5965" w14:textId="54E7FB4D" w:rsidR="00AB3B0F" w:rsidRPr="004429E3" w:rsidRDefault="00AB3B0F" w:rsidP="004429E3">
      <w:pPr>
        <w:rPr>
          <w:rFonts w:ascii="Calibri" w:hAnsi="Calibri" w:cs="Calibri"/>
          <w:color w:val="000000"/>
          <w:sz w:val="24"/>
          <w:szCs w:val="24"/>
        </w:rPr>
      </w:pPr>
    </w:p>
    <w:p w14:paraId="69086075" w14:textId="181E4E50" w:rsidR="00FB79D7" w:rsidRDefault="00FB79D7" w:rsidP="006F23D8">
      <w:pPr>
        <w:pStyle w:val="Default"/>
        <w:spacing w:after="39"/>
        <w:rPr>
          <w:b/>
          <w:bCs/>
          <w:color w:val="001F5F"/>
          <w:sz w:val="23"/>
          <w:szCs w:val="23"/>
        </w:rPr>
      </w:pPr>
    </w:p>
    <w:p w14:paraId="44CE100F" w14:textId="6F9CAF92" w:rsidR="00CD7741" w:rsidRDefault="00E92D47" w:rsidP="006F23D8">
      <w:pPr>
        <w:pStyle w:val="Default"/>
        <w:spacing w:after="39"/>
        <w:rPr>
          <w:sz w:val="22"/>
          <w:szCs w:val="22"/>
        </w:rPr>
      </w:pPr>
      <w:r>
        <w:rPr>
          <w:sz w:val="22"/>
          <w:szCs w:val="22"/>
        </w:rPr>
        <w:lastRenderedPageBreak/>
        <w:br/>
      </w:r>
    </w:p>
    <w:p w14:paraId="304AFBDF" w14:textId="77777777" w:rsidR="00CD7741" w:rsidRDefault="00CD7741" w:rsidP="00CD7741">
      <w:pPr>
        <w:pStyle w:val="Default"/>
        <w:rPr>
          <w:sz w:val="22"/>
          <w:szCs w:val="22"/>
        </w:rPr>
      </w:pPr>
    </w:p>
    <w:p w14:paraId="2D20565D" w14:textId="47AD6D7B" w:rsidR="0048579A" w:rsidRDefault="0048579A" w:rsidP="0066013A">
      <w:pPr>
        <w:pStyle w:val="Default"/>
        <w:spacing w:after="39"/>
        <w:ind w:left="720"/>
        <w:rPr>
          <w:sz w:val="22"/>
          <w:szCs w:val="22"/>
        </w:rPr>
      </w:pPr>
    </w:p>
    <w:p w14:paraId="4C9DE801" w14:textId="77777777" w:rsidR="0048579A" w:rsidRDefault="0048579A" w:rsidP="0048579A">
      <w:pPr>
        <w:pStyle w:val="Default"/>
        <w:rPr>
          <w:sz w:val="22"/>
          <w:szCs w:val="22"/>
        </w:rPr>
      </w:pPr>
    </w:p>
    <w:sectPr w:rsidR="004857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EA3D" w14:textId="77777777" w:rsidR="0055532E" w:rsidRDefault="0055532E" w:rsidP="000E7B89">
      <w:pPr>
        <w:spacing w:after="0" w:line="240" w:lineRule="auto"/>
      </w:pPr>
      <w:r>
        <w:separator/>
      </w:r>
    </w:p>
  </w:endnote>
  <w:endnote w:type="continuationSeparator" w:id="0">
    <w:p w14:paraId="413A7ECA" w14:textId="77777777" w:rsidR="0055532E" w:rsidRDefault="0055532E" w:rsidP="000E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89C8" w14:textId="77777777" w:rsidR="00EA0D8E" w:rsidRDefault="00EA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51395"/>
      <w:docPartObj>
        <w:docPartGallery w:val="Page Numbers (Bottom of Page)"/>
        <w:docPartUnique/>
      </w:docPartObj>
    </w:sdtPr>
    <w:sdtEndPr>
      <w:rPr>
        <w:color w:val="7F7F7F" w:themeColor="background1" w:themeShade="7F"/>
        <w:spacing w:val="60"/>
      </w:rPr>
    </w:sdtEndPr>
    <w:sdtContent>
      <w:p w14:paraId="1CE45057" w14:textId="0748E1E2" w:rsidR="006F23D8" w:rsidRDefault="006F23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73BE5B8" w14:textId="77777777" w:rsidR="000E7B89" w:rsidRDefault="000E7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235F" w14:textId="77777777" w:rsidR="00EA0D8E" w:rsidRDefault="00EA0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1467" w14:textId="77777777" w:rsidR="0055532E" w:rsidRDefault="0055532E" w:rsidP="000E7B89">
      <w:pPr>
        <w:spacing w:after="0" w:line="240" w:lineRule="auto"/>
      </w:pPr>
      <w:r>
        <w:separator/>
      </w:r>
    </w:p>
  </w:footnote>
  <w:footnote w:type="continuationSeparator" w:id="0">
    <w:p w14:paraId="4FB830FA" w14:textId="77777777" w:rsidR="0055532E" w:rsidRDefault="0055532E" w:rsidP="000E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4857" w14:textId="77777777" w:rsidR="00EA0D8E" w:rsidRDefault="00EA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DC30" w14:textId="701FF56A" w:rsidR="00972E0B" w:rsidRPr="0044771D" w:rsidRDefault="00972E0B" w:rsidP="00EA0D8E">
    <w:pPr>
      <w:pStyle w:val="Header"/>
      <w:rPr>
        <w:lang w:val="en-US"/>
      </w:rPr>
    </w:pPr>
    <w:r>
      <w:rPr>
        <w:lang w:val="en-US"/>
      </w:rPr>
      <w:t xml:space="preserve">GIGA </w:t>
    </w:r>
    <w:r w:rsidR="009729DA">
      <w:rPr>
        <w:lang w:val="en-US"/>
      </w:rPr>
      <w:t xml:space="preserve">Anti-Financial Crimes </w:t>
    </w:r>
    <w:r>
      <w:rPr>
        <w:lang w:val="en-US"/>
      </w:rPr>
      <w:t xml:space="preserve">Policy </w:t>
    </w:r>
    <w:r w:rsidR="00EA0D8E">
      <w:rPr>
        <w:lang w:val="en-US"/>
      </w:rPr>
      <w:t>Final</w:t>
    </w:r>
    <w:r w:rsidR="00F51C8A">
      <w:rPr>
        <w:lang w:val="en-US"/>
      </w:rPr>
      <w:t xml:space="preserve"> </w:t>
    </w:r>
    <w:r w:rsidR="00EA0D8E">
      <w:rPr>
        <w:lang w:val="en-US"/>
      </w:rPr>
      <w:t xml:space="preserve">for </w:t>
    </w:r>
    <w:r w:rsidR="003E7EE9">
      <w:rPr>
        <w:lang w:val="en-US"/>
      </w:rPr>
      <w:t>Member</w:t>
    </w:r>
    <w:r w:rsidR="00EA0D8E">
      <w:rPr>
        <w:lang w:val="en-US"/>
      </w:rPr>
      <w:t xml:space="preserve"> agreement </w:t>
    </w:r>
    <w:r w:rsidR="003E7EE9">
      <w:rPr>
        <w:lang w:val="en-US"/>
      </w:rPr>
      <w:t xml:space="preserve">21 March </w:t>
    </w:r>
    <w:r w:rsidR="003E7EE9">
      <w:rPr>
        <w:lang w:val="en-US"/>
      </w:rPr>
      <w:t>202</w:t>
    </w:r>
    <w:r w:rsidR="00F51C8A">
      <w:rPr>
        <w:lang w:val="en-US"/>
      </w:rPr>
      <w:t>3</w:t>
    </w:r>
    <w:r w:rsidR="003E7EE9">
      <w:rPr>
        <w:noProof/>
      </w:rPr>
      <w:drawing>
        <wp:inline distT="0" distB="0" distL="0" distR="0" wp14:anchorId="1159D6BD" wp14:editId="3E8FD1B3">
          <wp:extent cx="1282700" cy="89400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4150" cy="915923"/>
                  </a:xfrm>
                  <a:prstGeom prst="rect">
                    <a:avLst/>
                  </a:prstGeom>
                </pic:spPr>
              </pic:pic>
            </a:graphicData>
          </a:graphic>
        </wp:inline>
      </w:drawing>
    </w:r>
  </w:p>
  <w:p w14:paraId="452F2648" w14:textId="77777777" w:rsidR="00972E0B" w:rsidRDefault="00972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0CDD" w14:textId="77777777" w:rsidR="00EA0D8E" w:rsidRDefault="00EA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3AFC"/>
    <w:multiLevelType w:val="hybridMultilevel"/>
    <w:tmpl w:val="717C20F2"/>
    <w:lvl w:ilvl="0" w:tplc="6674DB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27027"/>
    <w:multiLevelType w:val="multilevel"/>
    <w:tmpl w:val="92BE174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6078944">
    <w:abstractNumId w:val="1"/>
  </w:num>
  <w:num w:numId="2" w16cid:durableId="209932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66"/>
    <w:rsid w:val="00034E04"/>
    <w:rsid w:val="000B0CA4"/>
    <w:rsid w:val="000E207A"/>
    <w:rsid w:val="000E7B89"/>
    <w:rsid w:val="001046D6"/>
    <w:rsid w:val="0012372F"/>
    <w:rsid w:val="00127E33"/>
    <w:rsid w:val="0014148F"/>
    <w:rsid w:val="001611CA"/>
    <w:rsid w:val="00162E1C"/>
    <w:rsid w:val="001A1F62"/>
    <w:rsid w:val="001B53C5"/>
    <w:rsid w:val="001F1016"/>
    <w:rsid w:val="0020495E"/>
    <w:rsid w:val="00223FF6"/>
    <w:rsid w:val="00293F53"/>
    <w:rsid w:val="002A4C50"/>
    <w:rsid w:val="002A4D2B"/>
    <w:rsid w:val="002B5489"/>
    <w:rsid w:val="002C7366"/>
    <w:rsid w:val="002D3E5D"/>
    <w:rsid w:val="00323334"/>
    <w:rsid w:val="00344882"/>
    <w:rsid w:val="003470C5"/>
    <w:rsid w:val="0037726C"/>
    <w:rsid w:val="003B2736"/>
    <w:rsid w:val="003E7EE9"/>
    <w:rsid w:val="004222E5"/>
    <w:rsid w:val="00427C54"/>
    <w:rsid w:val="004429E3"/>
    <w:rsid w:val="0046157B"/>
    <w:rsid w:val="00474AE1"/>
    <w:rsid w:val="00476D8D"/>
    <w:rsid w:val="0048579A"/>
    <w:rsid w:val="00491E60"/>
    <w:rsid w:val="004B1FBA"/>
    <w:rsid w:val="004D4646"/>
    <w:rsid w:val="004D71DA"/>
    <w:rsid w:val="005111DC"/>
    <w:rsid w:val="005173C6"/>
    <w:rsid w:val="005527DA"/>
    <w:rsid w:val="0055532E"/>
    <w:rsid w:val="00561456"/>
    <w:rsid w:val="005637F5"/>
    <w:rsid w:val="00565AD1"/>
    <w:rsid w:val="00586276"/>
    <w:rsid w:val="005A1C16"/>
    <w:rsid w:val="005E5190"/>
    <w:rsid w:val="00603964"/>
    <w:rsid w:val="006265CD"/>
    <w:rsid w:val="00630E10"/>
    <w:rsid w:val="0063142D"/>
    <w:rsid w:val="00643678"/>
    <w:rsid w:val="0064377A"/>
    <w:rsid w:val="0066013A"/>
    <w:rsid w:val="00666505"/>
    <w:rsid w:val="00666CCF"/>
    <w:rsid w:val="00677F55"/>
    <w:rsid w:val="00684B3C"/>
    <w:rsid w:val="00685ADA"/>
    <w:rsid w:val="006B69B4"/>
    <w:rsid w:val="006C6026"/>
    <w:rsid w:val="006F23D8"/>
    <w:rsid w:val="006F766A"/>
    <w:rsid w:val="007515E9"/>
    <w:rsid w:val="00752493"/>
    <w:rsid w:val="007A4315"/>
    <w:rsid w:val="007D34F9"/>
    <w:rsid w:val="007D5076"/>
    <w:rsid w:val="00822A30"/>
    <w:rsid w:val="00833E76"/>
    <w:rsid w:val="0084736A"/>
    <w:rsid w:val="00867FF5"/>
    <w:rsid w:val="00882B59"/>
    <w:rsid w:val="008B0410"/>
    <w:rsid w:val="008D1ED7"/>
    <w:rsid w:val="008E7D0D"/>
    <w:rsid w:val="00911038"/>
    <w:rsid w:val="009729DA"/>
    <w:rsid w:val="00972E0B"/>
    <w:rsid w:val="00A87DE5"/>
    <w:rsid w:val="00A97D63"/>
    <w:rsid w:val="00AB3B0F"/>
    <w:rsid w:val="00AC0FA3"/>
    <w:rsid w:val="00AD28AD"/>
    <w:rsid w:val="00AD486A"/>
    <w:rsid w:val="00AD68E8"/>
    <w:rsid w:val="00AE397A"/>
    <w:rsid w:val="00AF4337"/>
    <w:rsid w:val="00B07817"/>
    <w:rsid w:val="00B12327"/>
    <w:rsid w:val="00BF3E74"/>
    <w:rsid w:val="00C0221D"/>
    <w:rsid w:val="00C2112B"/>
    <w:rsid w:val="00C24BD0"/>
    <w:rsid w:val="00C356BB"/>
    <w:rsid w:val="00C4143E"/>
    <w:rsid w:val="00C55380"/>
    <w:rsid w:val="00C70A69"/>
    <w:rsid w:val="00C91633"/>
    <w:rsid w:val="00CD7741"/>
    <w:rsid w:val="00CE1926"/>
    <w:rsid w:val="00D12A7C"/>
    <w:rsid w:val="00D16D2F"/>
    <w:rsid w:val="00D33346"/>
    <w:rsid w:val="00D410D7"/>
    <w:rsid w:val="00D463F4"/>
    <w:rsid w:val="00D641FA"/>
    <w:rsid w:val="00D8731D"/>
    <w:rsid w:val="00DA2BEC"/>
    <w:rsid w:val="00DB0AA1"/>
    <w:rsid w:val="00DD4015"/>
    <w:rsid w:val="00DD5120"/>
    <w:rsid w:val="00E06ACF"/>
    <w:rsid w:val="00E30BAB"/>
    <w:rsid w:val="00E36EE9"/>
    <w:rsid w:val="00E419A4"/>
    <w:rsid w:val="00E47FEC"/>
    <w:rsid w:val="00E52D30"/>
    <w:rsid w:val="00E652F5"/>
    <w:rsid w:val="00E86F99"/>
    <w:rsid w:val="00E92029"/>
    <w:rsid w:val="00E92D47"/>
    <w:rsid w:val="00EA0D8E"/>
    <w:rsid w:val="00EF6858"/>
    <w:rsid w:val="00F052DD"/>
    <w:rsid w:val="00F314D0"/>
    <w:rsid w:val="00F3642F"/>
    <w:rsid w:val="00F402AF"/>
    <w:rsid w:val="00F42D71"/>
    <w:rsid w:val="00F4367F"/>
    <w:rsid w:val="00F45B32"/>
    <w:rsid w:val="00F51C8A"/>
    <w:rsid w:val="00F640AB"/>
    <w:rsid w:val="00FB4CCB"/>
    <w:rsid w:val="00FB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DFF2"/>
  <w15:chartTrackingRefBased/>
  <w15:docId w15:val="{04C2E70B-6FC6-4F57-B8D0-07BCC6F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12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E7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89"/>
  </w:style>
  <w:style w:type="paragraph" w:styleId="Footer">
    <w:name w:val="footer"/>
    <w:basedOn w:val="Normal"/>
    <w:link w:val="FooterChar"/>
    <w:uiPriority w:val="99"/>
    <w:unhideWhenUsed/>
    <w:rsid w:val="000E7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89"/>
  </w:style>
  <w:style w:type="paragraph" w:styleId="NoSpacing">
    <w:name w:val="No Spacing"/>
    <w:uiPriority w:val="1"/>
    <w:qFormat/>
    <w:rsid w:val="002A4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11</Pages>
  <Words>2158</Words>
  <Characters>12305</Characters>
  <Application>Microsoft Office Word</Application>
  <DocSecurity>0</DocSecurity>
  <Lines>102</Lines>
  <Paragraphs>28</Paragraphs>
  <ScaleCrop>false</ScaleCrop>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Denton</dc:creator>
  <cp:keywords/>
  <dc:description/>
  <cp:lastModifiedBy>Rick Denton</cp:lastModifiedBy>
  <cp:revision>134</cp:revision>
  <dcterms:created xsi:type="dcterms:W3CDTF">2023-01-29T22:48:00Z</dcterms:created>
  <dcterms:modified xsi:type="dcterms:W3CDTF">2023-03-01T09:53:00Z</dcterms:modified>
</cp:coreProperties>
</file>